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BC6873" w14:textId="44DF7D3F" w:rsidR="00A96FA7" w:rsidRPr="00A96FA7" w:rsidRDefault="00A96FA7" w:rsidP="00483BCD">
      <w:pPr>
        <w:pStyle w:val="Stile1"/>
        <w:spacing w:after="0"/>
        <w:jc w:val="both"/>
        <w:rPr>
          <w:rFonts w:cs="Times New Roman"/>
          <w:sz w:val="28"/>
          <w:szCs w:val="28"/>
        </w:rPr>
      </w:pPr>
      <w:r w:rsidRPr="00A96FA7">
        <w:rPr>
          <w:rFonts w:cs="Times New Roman"/>
          <w:smallCaps/>
          <w:sz w:val="28"/>
          <w:szCs w:val="28"/>
        </w:rPr>
        <w:t>M. Allolio</w:t>
      </w:r>
      <w:r w:rsidRPr="00A96FA7">
        <w:rPr>
          <w:rFonts w:cs="Times New Roman"/>
          <w:sz w:val="28"/>
          <w:szCs w:val="28"/>
        </w:rPr>
        <w:t xml:space="preserve">, </w:t>
      </w:r>
      <w:r w:rsidRPr="00A96FA7">
        <w:rPr>
          <w:rFonts w:cs="Times New Roman"/>
          <w:i/>
          <w:iCs/>
          <w:sz w:val="28"/>
          <w:szCs w:val="28"/>
        </w:rPr>
        <w:t xml:space="preserve">La «risurrezione della carne» tra storia ed </w:t>
      </w:r>
      <w:proofErr w:type="spellStart"/>
      <w:r w:rsidRPr="00A96FA7">
        <w:rPr>
          <w:rFonts w:cs="Times New Roman"/>
          <w:sz w:val="28"/>
          <w:szCs w:val="28"/>
        </w:rPr>
        <w:t>eschaton</w:t>
      </w:r>
      <w:proofErr w:type="spellEnd"/>
      <w:r w:rsidRPr="00A96FA7">
        <w:rPr>
          <w:rFonts w:cs="Times New Roman"/>
          <w:i/>
          <w:iCs/>
          <w:sz w:val="28"/>
          <w:szCs w:val="28"/>
        </w:rPr>
        <w:t>. L’escatologia contemporanea di f</w:t>
      </w:r>
      <w:r>
        <w:rPr>
          <w:rFonts w:cs="Times New Roman"/>
          <w:i/>
          <w:iCs/>
          <w:sz w:val="28"/>
          <w:szCs w:val="28"/>
        </w:rPr>
        <w:t>ro</w:t>
      </w:r>
      <w:r w:rsidRPr="00A96FA7">
        <w:rPr>
          <w:rFonts w:cs="Times New Roman"/>
          <w:i/>
          <w:iCs/>
          <w:sz w:val="28"/>
          <w:szCs w:val="28"/>
        </w:rPr>
        <w:t>nte al «mistero della trasformazione»</w:t>
      </w:r>
      <w:r w:rsidRPr="00A96FA7">
        <w:rPr>
          <w:rFonts w:cs="Times New Roman"/>
          <w:sz w:val="28"/>
          <w:szCs w:val="28"/>
        </w:rPr>
        <w:t>, Glossa, Milano 2024</w:t>
      </w:r>
      <w:r>
        <w:rPr>
          <w:rFonts w:cs="Times New Roman"/>
          <w:sz w:val="28"/>
          <w:szCs w:val="28"/>
        </w:rPr>
        <w:t>.</w:t>
      </w:r>
    </w:p>
    <w:p w14:paraId="378F8BF3" w14:textId="77777777" w:rsidR="00A96FA7" w:rsidRPr="00A96FA7" w:rsidRDefault="00A96FA7" w:rsidP="00483BCD">
      <w:pPr>
        <w:pStyle w:val="Stile1"/>
        <w:spacing w:after="0"/>
        <w:jc w:val="both"/>
        <w:rPr>
          <w:rFonts w:cs="Times New Roman"/>
          <w:sz w:val="28"/>
          <w:szCs w:val="28"/>
        </w:rPr>
      </w:pPr>
    </w:p>
    <w:p w14:paraId="3D127563" w14:textId="09FFDB5F" w:rsidR="00A361A9" w:rsidRPr="006A3E49" w:rsidRDefault="003D1FF0" w:rsidP="00483BCD">
      <w:pPr>
        <w:pStyle w:val="Stile1"/>
        <w:spacing w:after="0"/>
        <w:jc w:val="both"/>
        <w:rPr>
          <w:rFonts w:cs="Times New Roman"/>
          <w:szCs w:val="24"/>
        </w:rPr>
      </w:pPr>
      <w:r w:rsidRPr="006A3E49">
        <w:rPr>
          <w:rFonts w:cs="Times New Roman"/>
          <w:szCs w:val="24"/>
        </w:rPr>
        <w:t xml:space="preserve">Il rinnovamento della trattazione escatologica nella teologia del ’900 ha approfondito l’antico articolo di fede nella </w:t>
      </w:r>
      <w:r w:rsidRPr="006A3E49">
        <w:rPr>
          <w:rFonts w:cs="Times New Roman"/>
          <w:i/>
          <w:iCs/>
          <w:szCs w:val="24"/>
        </w:rPr>
        <w:t>risurrezione della carne</w:t>
      </w:r>
      <w:r w:rsidRPr="006A3E49">
        <w:rPr>
          <w:rFonts w:cs="Times New Roman"/>
          <w:szCs w:val="24"/>
        </w:rPr>
        <w:t xml:space="preserve"> prospettando l’esistenza risorta </w:t>
      </w:r>
      <w:r w:rsidR="00A361A9" w:rsidRPr="006A3E49">
        <w:rPr>
          <w:rFonts w:cs="Times New Roman"/>
          <w:szCs w:val="24"/>
        </w:rPr>
        <w:t xml:space="preserve">del singolo </w:t>
      </w:r>
      <w:r w:rsidRPr="006A3E49">
        <w:rPr>
          <w:rFonts w:cs="Times New Roman"/>
          <w:szCs w:val="24"/>
        </w:rPr>
        <w:t>come inserimento attivo nella vita stessa di Cristo</w:t>
      </w:r>
      <w:r w:rsidR="00A361A9" w:rsidRPr="006A3E49">
        <w:rPr>
          <w:rFonts w:cs="Times New Roman"/>
          <w:szCs w:val="24"/>
        </w:rPr>
        <w:t xml:space="preserve"> risorto</w:t>
      </w:r>
      <w:r w:rsidRPr="006A3E49">
        <w:rPr>
          <w:rFonts w:cs="Times New Roman"/>
          <w:szCs w:val="24"/>
        </w:rPr>
        <w:t xml:space="preserve">, ripensando così il Definitivo in quanto compimento, al tempo stesso, della vicenda storica collettiva e di quella </w:t>
      </w:r>
      <w:r w:rsidR="00A361A9" w:rsidRPr="006A3E49">
        <w:rPr>
          <w:rFonts w:cs="Times New Roman"/>
          <w:szCs w:val="24"/>
        </w:rPr>
        <w:t>individuale</w:t>
      </w:r>
      <w:r w:rsidRPr="006A3E49">
        <w:rPr>
          <w:rFonts w:cs="Times New Roman"/>
          <w:szCs w:val="24"/>
        </w:rPr>
        <w:t xml:space="preserve">. </w:t>
      </w:r>
    </w:p>
    <w:p w14:paraId="2D5E296E" w14:textId="4BD2F49E" w:rsidR="003D1FF0" w:rsidRPr="006A3E49" w:rsidRDefault="00A361A9" w:rsidP="00483BCD">
      <w:pPr>
        <w:pStyle w:val="Stile1"/>
        <w:spacing w:after="0"/>
        <w:jc w:val="both"/>
        <w:rPr>
          <w:rFonts w:cs="Times New Roman"/>
          <w:szCs w:val="24"/>
        </w:rPr>
      </w:pPr>
      <w:r w:rsidRPr="006A3E49">
        <w:rPr>
          <w:rFonts w:cs="Times New Roman"/>
          <w:szCs w:val="24"/>
        </w:rPr>
        <w:t xml:space="preserve">Diverse figure paradigmatiche della teologia novecentesca attestano </w:t>
      </w:r>
      <w:r w:rsidR="003D1FF0" w:rsidRPr="006A3E49">
        <w:rPr>
          <w:rFonts w:cs="Times New Roman"/>
          <w:szCs w:val="24"/>
        </w:rPr>
        <w:t xml:space="preserve">la parabola evolutiva della nozione </w:t>
      </w:r>
      <w:r w:rsidRPr="006A3E49">
        <w:rPr>
          <w:rFonts w:cs="Times New Roman"/>
          <w:szCs w:val="24"/>
        </w:rPr>
        <w:t>di risurrezione della carne</w:t>
      </w:r>
      <w:r w:rsidR="003D1FF0" w:rsidRPr="006A3E49">
        <w:rPr>
          <w:rFonts w:cs="Times New Roman"/>
          <w:szCs w:val="24"/>
        </w:rPr>
        <w:t xml:space="preserve">: da K. Barth </w:t>
      </w:r>
      <w:r w:rsidRPr="006A3E49">
        <w:rPr>
          <w:rFonts w:cs="Times New Roman"/>
          <w:szCs w:val="24"/>
        </w:rPr>
        <w:t>ad</w:t>
      </w:r>
      <w:r w:rsidR="003D1FF0" w:rsidRPr="006A3E49">
        <w:rPr>
          <w:rFonts w:cs="Times New Roman"/>
          <w:szCs w:val="24"/>
        </w:rPr>
        <w:t xml:space="preserve"> alcuni autori rappresentativi della teologia cattolica contemporanea, quali H.U. von Balthasar, G. </w:t>
      </w:r>
      <w:proofErr w:type="spellStart"/>
      <w:r w:rsidR="003D1FF0" w:rsidRPr="006A3E49">
        <w:rPr>
          <w:rFonts w:cs="Times New Roman"/>
          <w:szCs w:val="24"/>
        </w:rPr>
        <w:t>Greshake</w:t>
      </w:r>
      <w:proofErr w:type="spellEnd"/>
      <w:r w:rsidRPr="006A3E49">
        <w:rPr>
          <w:rFonts w:cs="Times New Roman"/>
          <w:szCs w:val="24"/>
        </w:rPr>
        <w:t>,</w:t>
      </w:r>
      <w:r w:rsidR="003D1FF0" w:rsidRPr="006A3E49">
        <w:rPr>
          <w:rFonts w:cs="Times New Roman"/>
          <w:szCs w:val="24"/>
        </w:rPr>
        <w:t xml:space="preserve"> G. </w:t>
      </w:r>
      <w:proofErr w:type="spellStart"/>
      <w:r w:rsidR="003D1FF0" w:rsidRPr="006A3E49">
        <w:rPr>
          <w:rFonts w:cs="Times New Roman"/>
          <w:szCs w:val="24"/>
        </w:rPr>
        <w:t>Lohfink</w:t>
      </w:r>
      <w:proofErr w:type="spellEnd"/>
      <w:r w:rsidR="003D1FF0" w:rsidRPr="006A3E49">
        <w:rPr>
          <w:rFonts w:cs="Times New Roman"/>
          <w:szCs w:val="24"/>
        </w:rPr>
        <w:t xml:space="preserve"> e A. Torres </w:t>
      </w:r>
      <w:proofErr w:type="spellStart"/>
      <w:r w:rsidR="003D1FF0" w:rsidRPr="006A3E49">
        <w:rPr>
          <w:rFonts w:cs="Times New Roman"/>
          <w:szCs w:val="24"/>
        </w:rPr>
        <w:t>Queiruga</w:t>
      </w:r>
      <w:proofErr w:type="spellEnd"/>
      <w:r w:rsidR="003D1FF0" w:rsidRPr="006A3E49">
        <w:rPr>
          <w:rFonts w:cs="Times New Roman"/>
          <w:szCs w:val="24"/>
        </w:rPr>
        <w:t xml:space="preserve">. </w:t>
      </w:r>
      <w:r w:rsidRPr="006A3E49">
        <w:rPr>
          <w:rFonts w:cs="Times New Roman"/>
          <w:szCs w:val="24"/>
        </w:rPr>
        <w:t>Una particolare attenzione, sotto questo profilo,</w:t>
      </w:r>
      <w:r w:rsidR="003D1FF0" w:rsidRPr="006A3E49">
        <w:rPr>
          <w:rFonts w:cs="Times New Roman"/>
          <w:szCs w:val="24"/>
        </w:rPr>
        <w:t xml:space="preserve"> </w:t>
      </w:r>
      <w:r w:rsidRPr="006A3E49">
        <w:rPr>
          <w:rFonts w:cs="Times New Roman"/>
          <w:szCs w:val="24"/>
        </w:rPr>
        <w:t>va riservata</w:t>
      </w:r>
      <w:r w:rsidR="003D1FF0" w:rsidRPr="006A3E49">
        <w:rPr>
          <w:rFonts w:cs="Times New Roman"/>
          <w:szCs w:val="24"/>
        </w:rPr>
        <w:t xml:space="preserve"> all’originale prospettiva entro cui si muove J. </w:t>
      </w:r>
      <w:proofErr w:type="spellStart"/>
      <w:r w:rsidR="003D1FF0" w:rsidRPr="006A3E49">
        <w:rPr>
          <w:rFonts w:cs="Times New Roman"/>
          <w:szCs w:val="24"/>
        </w:rPr>
        <w:t>Wohlmuth</w:t>
      </w:r>
      <w:proofErr w:type="spellEnd"/>
      <w:r w:rsidR="003D1FF0" w:rsidRPr="006A3E49">
        <w:rPr>
          <w:rFonts w:cs="Times New Roman"/>
          <w:szCs w:val="24"/>
        </w:rPr>
        <w:t xml:space="preserve">, il quale coglie il linguaggio escatologico come «metaforismo </w:t>
      </w:r>
      <w:proofErr w:type="spellStart"/>
      <w:r w:rsidR="003D1FF0" w:rsidRPr="006A3E49">
        <w:rPr>
          <w:rFonts w:cs="Times New Roman"/>
          <w:szCs w:val="24"/>
        </w:rPr>
        <w:t>escato</w:t>
      </w:r>
      <w:proofErr w:type="spellEnd"/>
      <w:r w:rsidR="003D1FF0" w:rsidRPr="006A3E49">
        <w:rPr>
          <w:rFonts w:cs="Times New Roman"/>
          <w:szCs w:val="24"/>
        </w:rPr>
        <w:t>-estetico», al fine di evidenziare il «mistero della trasformazione», profeticamente intravisto da Paolo in 1</w:t>
      </w:r>
      <w:r w:rsidR="003D1FF0" w:rsidRPr="006A3E49">
        <w:rPr>
          <w:rFonts w:cs="Times New Roman"/>
          <w:i/>
          <w:szCs w:val="24"/>
        </w:rPr>
        <w:t>Cor</w:t>
      </w:r>
      <w:r w:rsidR="003D1FF0" w:rsidRPr="006A3E49">
        <w:rPr>
          <w:rFonts w:cs="Times New Roman"/>
          <w:szCs w:val="24"/>
        </w:rPr>
        <w:t xml:space="preserve"> 15,51, indicando il nesso irriducibile tra </w:t>
      </w:r>
      <w:r w:rsidRPr="006A3E49">
        <w:rPr>
          <w:rFonts w:cs="Times New Roman"/>
          <w:szCs w:val="24"/>
        </w:rPr>
        <w:t>l’</w:t>
      </w:r>
      <w:proofErr w:type="spellStart"/>
      <w:r w:rsidRPr="006A3E49">
        <w:rPr>
          <w:rFonts w:cs="Times New Roman"/>
          <w:szCs w:val="24"/>
        </w:rPr>
        <w:t>eschaton</w:t>
      </w:r>
      <w:proofErr w:type="spellEnd"/>
      <w:r w:rsidR="003D1FF0" w:rsidRPr="006A3E49">
        <w:rPr>
          <w:rFonts w:cs="Times New Roman"/>
          <w:szCs w:val="24"/>
        </w:rPr>
        <w:t xml:space="preserve"> e la dinamica storica dell’esperienza umana. </w:t>
      </w:r>
    </w:p>
    <w:p w14:paraId="06CD5CDE" w14:textId="52AF3B2E" w:rsidR="003D1FF0" w:rsidRPr="006A3E49" w:rsidRDefault="003D1FF0" w:rsidP="00483B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A3E49">
        <w:rPr>
          <w:rFonts w:ascii="Times New Roman" w:hAnsi="Times New Roman" w:cs="Times New Roman"/>
          <w:sz w:val="24"/>
          <w:szCs w:val="24"/>
        </w:rPr>
        <w:t xml:space="preserve">In particolare, il paradigma della </w:t>
      </w:r>
      <w:r w:rsidRPr="006A3E49">
        <w:rPr>
          <w:rFonts w:ascii="Times New Roman" w:hAnsi="Times New Roman" w:cs="Times New Roman"/>
          <w:i/>
          <w:iCs/>
          <w:sz w:val="24"/>
          <w:szCs w:val="24"/>
        </w:rPr>
        <w:t>trasformazione</w:t>
      </w:r>
      <w:r w:rsidRPr="006A3E49">
        <w:rPr>
          <w:rFonts w:ascii="Times New Roman" w:hAnsi="Times New Roman" w:cs="Times New Roman"/>
          <w:sz w:val="24"/>
          <w:szCs w:val="24"/>
        </w:rPr>
        <w:t xml:space="preserve"> riesce a superare i limiti di una categoria di </w:t>
      </w:r>
      <w:r w:rsidRPr="006A3E49">
        <w:rPr>
          <w:rFonts w:ascii="Times New Roman" w:hAnsi="Times New Roman" w:cs="Times New Roman"/>
          <w:i/>
          <w:iCs/>
          <w:sz w:val="24"/>
          <w:szCs w:val="24"/>
        </w:rPr>
        <w:t>carne</w:t>
      </w:r>
      <w:r w:rsidRPr="006A3E49">
        <w:rPr>
          <w:rFonts w:ascii="Times New Roman" w:hAnsi="Times New Roman" w:cs="Times New Roman"/>
          <w:sz w:val="24"/>
          <w:szCs w:val="24"/>
        </w:rPr>
        <w:t xml:space="preserve"> intesa come pura corporeità fisica, </w:t>
      </w:r>
      <w:r w:rsidR="006F21A9">
        <w:rPr>
          <w:rFonts w:ascii="Times New Roman" w:hAnsi="Times New Roman" w:cs="Times New Roman"/>
          <w:sz w:val="24"/>
          <w:szCs w:val="24"/>
        </w:rPr>
        <w:t>dilatandola</w:t>
      </w:r>
      <w:r w:rsidRPr="006A3E49">
        <w:rPr>
          <w:rFonts w:ascii="Times New Roman" w:hAnsi="Times New Roman" w:cs="Times New Roman"/>
          <w:sz w:val="24"/>
          <w:szCs w:val="24"/>
        </w:rPr>
        <w:t xml:space="preserve"> all’esserci integrale dell’uomo nella sua relazione costitutiva con l’altro, intessuta al tempo stesso di attività e di passività, in cui la libertà mette in gioco </w:t>
      </w:r>
      <w:proofErr w:type="gramStart"/>
      <w:r w:rsidRPr="006A3E49">
        <w:rPr>
          <w:rFonts w:ascii="Times New Roman" w:hAnsi="Times New Roman" w:cs="Times New Roman"/>
          <w:sz w:val="24"/>
          <w:szCs w:val="24"/>
        </w:rPr>
        <w:t>se</w:t>
      </w:r>
      <w:proofErr w:type="gramEnd"/>
      <w:r w:rsidRPr="006A3E49">
        <w:rPr>
          <w:rFonts w:ascii="Times New Roman" w:hAnsi="Times New Roman" w:cs="Times New Roman"/>
          <w:sz w:val="24"/>
          <w:szCs w:val="24"/>
        </w:rPr>
        <w:t xml:space="preserve"> stessa nell’accoglienza indeducibile dell’alterità. </w:t>
      </w:r>
    </w:p>
    <w:p w14:paraId="0F706A7F" w14:textId="309A7565" w:rsidR="003D1FF0" w:rsidRPr="006A3E49" w:rsidRDefault="003D1FF0" w:rsidP="00483B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A3E49">
        <w:rPr>
          <w:rFonts w:ascii="Times New Roman" w:hAnsi="Times New Roman" w:cs="Times New Roman"/>
          <w:sz w:val="24"/>
          <w:szCs w:val="24"/>
        </w:rPr>
        <w:t>Escatologia individuale e universale vengono</w:t>
      </w:r>
      <w:r w:rsidR="006F21A9">
        <w:rPr>
          <w:rFonts w:ascii="Times New Roman" w:hAnsi="Times New Roman" w:cs="Times New Roman"/>
          <w:sz w:val="24"/>
          <w:szCs w:val="24"/>
        </w:rPr>
        <w:t>,</w:t>
      </w:r>
      <w:r w:rsidRPr="006A3E49">
        <w:rPr>
          <w:rFonts w:ascii="Times New Roman" w:hAnsi="Times New Roman" w:cs="Times New Roman"/>
          <w:sz w:val="24"/>
          <w:szCs w:val="24"/>
        </w:rPr>
        <w:t xml:space="preserve"> in tal modo</w:t>
      </w:r>
      <w:r w:rsidR="006F21A9">
        <w:rPr>
          <w:rFonts w:ascii="Times New Roman" w:hAnsi="Times New Roman" w:cs="Times New Roman"/>
          <w:sz w:val="24"/>
          <w:szCs w:val="24"/>
        </w:rPr>
        <w:t>,</w:t>
      </w:r>
      <w:r w:rsidRPr="006A3E49">
        <w:rPr>
          <w:rFonts w:ascii="Times New Roman" w:hAnsi="Times New Roman" w:cs="Times New Roman"/>
          <w:sz w:val="24"/>
          <w:szCs w:val="24"/>
        </w:rPr>
        <w:t xml:space="preserve"> a </w:t>
      </w:r>
      <w:r w:rsidR="00A361A9" w:rsidRPr="006A3E49">
        <w:rPr>
          <w:rFonts w:ascii="Times New Roman" w:hAnsi="Times New Roman" w:cs="Times New Roman"/>
          <w:sz w:val="24"/>
          <w:szCs w:val="24"/>
        </w:rPr>
        <w:t xml:space="preserve">stretto </w:t>
      </w:r>
      <w:r w:rsidRPr="006A3E49">
        <w:rPr>
          <w:rFonts w:ascii="Times New Roman" w:hAnsi="Times New Roman" w:cs="Times New Roman"/>
          <w:sz w:val="24"/>
          <w:szCs w:val="24"/>
        </w:rPr>
        <w:t xml:space="preserve">contatto al livello dell’effettiva storicità dell’uomo: dove ognuno perviene all’effettiva realizzazione di sé nell’incontro reale con la diversità dell’altro. </w:t>
      </w:r>
      <w:r w:rsidR="00A361A9" w:rsidRPr="006A3E49">
        <w:rPr>
          <w:rFonts w:ascii="Times New Roman" w:hAnsi="Times New Roman" w:cs="Times New Roman"/>
          <w:sz w:val="24"/>
          <w:szCs w:val="24"/>
        </w:rPr>
        <w:t>T</w:t>
      </w:r>
      <w:r w:rsidRPr="006A3E49">
        <w:rPr>
          <w:rFonts w:ascii="Times New Roman" w:hAnsi="Times New Roman" w:cs="Times New Roman"/>
          <w:sz w:val="24"/>
          <w:szCs w:val="24"/>
        </w:rPr>
        <w:t xml:space="preserve">rovano </w:t>
      </w:r>
      <w:r w:rsidR="00A361A9" w:rsidRPr="006A3E49">
        <w:rPr>
          <w:rFonts w:ascii="Times New Roman" w:hAnsi="Times New Roman" w:cs="Times New Roman"/>
          <w:sz w:val="24"/>
          <w:szCs w:val="24"/>
        </w:rPr>
        <w:t xml:space="preserve">così </w:t>
      </w:r>
      <w:r w:rsidRPr="006A3E49">
        <w:rPr>
          <w:rFonts w:ascii="Times New Roman" w:hAnsi="Times New Roman" w:cs="Times New Roman"/>
          <w:sz w:val="24"/>
          <w:szCs w:val="24"/>
        </w:rPr>
        <w:t xml:space="preserve">possibilità di soluzione anche le altre antinomie in capo all’impostazione </w:t>
      </w:r>
      <w:r w:rsidR="006A3E49">
        <w:rPr>
          <w:rFonts w:ascii="Times New Roman" w:hAnsi="Times New Roman" w:cs="Times New Roman"/>
          <w:sz w:val="24"/>
          <w:szCs w:val="24"/>
        </w:rPr>
        <w:t>manualistica consolidata</w:t>
      </w:r>
      <w:r w:rsidRPr="006A3E49">
        <w:rPr>
          <w:rFonts w:ascii="Times New Roman" w:hAnsi="Times New Roman" w:cs="Times New Roman"/>
          <w:sz w:val="24"/>
          <w:szCs w:val="24"/>
        </w:rPr>
        <w:t>: il dualismo antropologico tra anima e corpo, e la dicotomia tra tempo ed eternità; così come risulta acquisita una più matura consapevolezza del nesso esistente tra risurrezione e rivelazione.</w:t>
      </w:r>
    </w:p>
    <w:p w14:paraId="346FE8C0" w14:textId="6B19AA82" w:rsidR="00A361A9" w:rsidRDefault="006A3E49" w:rsidP="00483BCD">
      <w:pPr>
        <w:jc w:val="both"/>
        <w:rPr>
          <w:rFonts w:ascii="Times New Roman" w:hAnsi="Times New Roman" w:cs="Times New Roman"/>
          <w:sz w:val="24"/>
          <w:szCs w:val="24"/>
        </w:rPr>
      </w:pPr>
      <w:r w:rsidRPr="006A3E49">
        <w:rPr>
          <w:rFonts w:ascii="Times New Roman" w:hAnsi="Times New Roman" w:cs="Times New Roman"/>
          <w:sz w:val="24"/>
          <w:szCs w:val="24"/>
        </w:rPr>
        <w:t>Attraverso questo percorso selettivo</w:t>
      </w:r>
      <w:r>
        <w:rPr>
          <w:rFonts w:ascii="Times New Roman" w:hAnsi="Times New Roman" w:cs="Times New Roman"/>
          <w:sz w:val="24"/>
          <w:szCs w:val="24"/>
        </w:rPr>
        <w:t xml:space="preserve"> tra i diversi autori</w:t>
      </w:r>
      <w:r w:rsidRPr="006A3E49">
        <w:rPr>
          <w:rFonts w:ascii="Times New Roman" w:hAnsi="Times New Roman" w:cs="Times New Roman"/>
          <w:sz w:val="24"/>
          <w:szCs w:val="24"/>
        </w:rPr>
        <w:t>, sono emersi snodi tematici particolarmente significativi al fine di esplorare il possibile rimando dell’escatologia del ’900, nel suo complesso, a un approdo, almeno parzialmente, unificante.</w:t>
      </w:r>
    </w:p>
    <w:p w14:paraId="48D8FAEC" w14:textId="13AB62EA" w:rsidR="00A361A9" w:rsidRPr="00A361A9" w:rsidRDefault="00A361A9" w:rsidP="00483BCD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A361A9" w:rsidRPr="00A361A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FF0"/>
    <w:rsid w:val="000437CD"/>
    <w:rsid w:val="001C0EF7"/>
    <w:rsid w:val="003D1FF0"/>
    <w:rsid w:val="00483BCD"/>
    <w:rsid w:val="006A3E49"/>
    <w:rsid w:val="006F21A9"/>
    <w:rsid w:val="009E71C8"/>
    <w:rsid w:val="00A361A9"/>
    <w:rsid w:val="00A96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26947"/>
  <w15:chartTrackingRefBased/>
  <w15:docId w15:val="{3C21F107-AB72-4029-9DBC-6DDC00D2A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1FF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1">
    <w:name w:val="Stile1"/>
    <w:basedOn w:val="Normale"/>
    <w:link w:val="Stile1Carattere"/>
    <w:qFormat/>
    <w:rsid w:val="003D1FF0"/>
    <w:rPr>
      <w:rFonts w:ascii="Times New Roman" w:hAnsi="Times New Roman"/>
      <w:sz w:val="24"/>
    </w:rPr>
  </w:style>
  <w:style w:type="character" w:customStyle="1" w:styleId="Stile1Carattere">
    <w:name w:val="Stile1 Carattere"/>
    <w:basedOn w:val="Carpredefinitoparagrafo"/>
    <w:link w:val="Stile1"/>
    <w:rsid w:val="003D1FF0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 Allolio</dc:creator>
  <cp:keywords/>
  <dc:description/>
  <cp:lastModifiedBy>Mario Allolio</cp:lastModifiedBy>
  <cp:revision>5</cp:revision>
  <dcterms:created xsi:type="dcterms:W3CDTF">2023-11-23T10:37:00Z</dcterms:created>
  <dcterms:modified xsi:type="dcterms:W3CDTF">2025-02-04T15:45:00Z</dcterms:modified>
</cp:coreProperties>
</file>