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8029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3151A3">
        <w:rPr>
          <w:rFonts w:eastAsia="Times New Roman" w:cs="Times New Roman"/>
          <w:i/>
          <w:iCs/>
          <w:kern w:val="0"/>
          <w:lang w:eastAsia="it-IT"/>
          <w14:ligatures w14:val="none"/>
        </w:rPr>
        <w:t>Analisi delle figure di Mosè ed Elia nel contesto biblico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br/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br/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br/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giovedì 5 marzo 2026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br/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17,25–18,15</w:t>
      </w:r>
    </w:p>
    <w:p w14:paraId="47B9A360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436B2AA8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37BD64BB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Analisi delle figure di Mosè ed Elia nel contesto biblico</w:t>
      </w:r>
    </w:p>
    <w:p w14:paraId="77CE1F04" w14:textId="77777777" w:rsidR="003151A3" w:rsidRPr="003151A3" w:rsidRDefault="003151A3" w:rsidP="003151A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Appunti analitici della lezione</w:t>
      </w:r>
    </w:p>
    <w:p w14:paraId="3988C86D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Punto di partenza: la chiusura del corpus profetico</w:t>
      </w:r>
    </w:p>
    <w:p w14:paraId="4F7DCDB2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riflessione prende avvio dalla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conclusione del libro di Malachia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, che nella tradizione canonica chiude il rotolo dei Dodici profeti minori. In questo testo finale emergono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due figure decisive per comprendere l’intero fenomeno profetico biblico: Mosè ed 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849062C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testo finale (Ml 3,22-24) richiama esplicitamente:</w:t>
      </w:r>
    </w:p>
    <w:p w14:paraId="147E9E07" w14:textId="77777777" w:rsidR="003151A3" w:rsidRPr="003151A3" w:rsidRDefault="003151A3" w:rsidP="003151A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la Torah di Mosè</w:t>
      </w:r>
    </w:p>
    <w:p w14:paraId="5881366D" w14:textId="77777777" w:rsidR="003151A3" w:rsidRPr="003151A3" w:rsidRDefault="003151A3" w:rsidP="003151A3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la venuta futura del profeta Elia</w:t>
      </w:r>
    </w:p>
    <w:p w14:paraId="7011E32A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Questo collegamento non è casuale, ma rappresenta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una chiave interpretativa dell’intero sistema profetico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944ADDA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In particolare:</w:t>
      </w:r>
    </w:p>
    <w:p w14:paraId="5ACE7E1A" w14:textId="77777777" w:rsidR="003151A3" w:rsidRPr="003151A3" w:rsidRDefault="003151A3" w:rsidP="003151A3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è richiamato come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servo del Signore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e come depositario della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Torah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EC899AA" w14:textId="77777777" w:rsidR="003151A3" w:rsidRPr="003151A3" w:rsidRDefault="003151A3" w:rsidP="003151A3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è invece qualificato esplicitamente come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profeta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e come figura che precede il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giorno del Signore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0BBF004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Questa struttura suggerisce una lettura teologica: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br/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la storia profetica di Israele si colloca tra Mosè ed 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cioè tra l’origine della Torah e l’attesa escatologica.</w:t>
      </w:r>
    </w:p>
    <w:p w14:paraId="34F39A74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01503492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0079152F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Il ruolo dell’alleanza come categoria interpretativa</w:t>
      </w:r>
    </w:p>
    <w:p w14:paraId="402E52AA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Il legame tra Mosè, Elia e i profeti successivi è dato dalla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categoria dell’alleanza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C260C24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L’alleanza costituisce il filo conduttore dell’intera storia profetica:</w:t>
      </w:r>
    </w:p>
    <w:p w14:paraId="6AAC91D9" w14:textId="77777777" w:rsidR="003151A3" w:rsidRPr="003151A3" w:rsidRDefault="003151A3" w:rsidP="003151A3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è il mediatore dell’alleanza del Sinai.</w:t>
      </w:r>
    </w:p>
    <w:p w14:paraId="79642AB0" w14:textId="77777777" w:rsidR="003151A3" w:rsidRPr="003151A3" w:rsidRDefault="003151A3" w:rsidP="003151A3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profeti scrittori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(VIII–V secolo a.C.) reinterpretano continuamente questa alleanza nella storia.</w:t>
      </w:r>
    </w:p>
    <w:p w14:paraId="12C6A19E" w14:textId="77777777" w:rsidR="003151A3" w:rsidRPr="003151A3" w:rsidRDefault="003151A3" w:rsidP="003151A3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richiamato da Malachia, appare come il profeta destinato a ristabilire l’alleanza prima del giudizio finale.</w:t>
      </w:r>
    </w:p>
    <w:p w14:paraId="6932F1A7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 profeti scrittori svolgono quindi una funzione di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ripensamento dell’alleanza entro nuove categorie storiche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soprattutto nei momenti di crisi del popolo d’Israele.</w:t>
      </w:r>
    </w:p>
    <w:p w14:paraId="626D89E7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pict w14:anchorId="7CFD67BA">
          <v:rect id="_x0000_i1052" style="width:0;height:1.5pt" o:hralign="center" o:hrstd="t" o:hr="t" fillcolor="#a0a0a0" stroked="f"/>
        </w:pict>
      </w:r>
    </w:p>
    <w:p w14:paraId="1F5054E3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Mosè nella conclusione della Torah (</w:t>
      </w:r>
      <w:proofErr w:type="spellStart"/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Dt</w:t>
      </w:r>
      <w:proofErr w:type="spellEnd"/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34)</w:t>
      </w:r>
    </w:p>
    <w:p w14:paraId="67D54681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Per comprendere la figura di Mosè è necessario analizzare 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conclusione del Deuteronomio (</w:t>
      </w:r>
      <w:proofErr w:type="spellStart"/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Dt</w:t>
      </w:r>
      <w:proofErr w:type="spellEnd"/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34,10-12)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BFEABFC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testo afferma:</w:t>
      </w:r>
    </w:p>
    <w:p w14:paraId="7418DCAD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«Non è più sorto in Israele un profeta come Mosè, che il Signore conosceva faccia a faccia».</w:t>
      </w:r>
    </w:p>
    <w:p w14:paraId="78D6DC0B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Questa dichiarazione sottolinea 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unicità dell’esperienza profetica di 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caratterizzata da tre elementi fondamentali:</w:t>
      </w:r>
    </w:p>
    <w:p w14:paraId="65C4944B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 Relazione diretta con Dio</w:t>
      </w:r>
    </w:p>
    <w:p w14:paraId="4179FCA7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Mosè è il profeta che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conosce Dio “faccia a faccia”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cioè in una relazione di immediatezza unica nella tradizione biblica.</w:t>
      </w:r>
    </w:p>
    <w:p w14:paraId="7FDE72B9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3.2 Autorità sui segni e prodigi</w:t>
      </w:r>
    </w:p>
    <w:p w14:paraId="13E41E2B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testo ricorda:</w:t>
      </w:r>
    </w:p>
    <w:p w14:paraId="31660DF2" w14:textId="77777777" w:rsidR="003151A3" w:rsidRPr="003151A3" w:rsidRDefault="003151A3" w:rsidP="003151A3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segni compiuti in Egitto</w:t>
      </w:r>
    </w:p>
    <w:p w14:paraId="3331CAD7" w14:textId="77777777" w:rsidR="003151A3" w:rsidRPr="003151A3" w:rsidRDefault="003151A3" w:rsidP="003151A3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l’azione contro il faraone</w:t>
      </w:r>
    </w:p>
    <w:p w14:paraId="183F705A" w14:textId="77777777" w:rsidR="003151A3" w:rsidRPr="003151A3" w:rsidRDefault="003151A3" w:rsidP="003151A3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la liberazione del popolo.</w:t>
      </w:r>
    </w:p>
    <w:p w14:paraId="54C5E2CB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Questi eventi attestano 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legittimità divina della missione di 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69A6521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3.3 Il paradigma della profezia</w:t>
      </w:r>
    </w:p>
    <w:p w14:paraId="2C268598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conclusione del Deuteronomio eleva Mosè 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modello paradigmatico della profezia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CDFF38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L’esperienza mosaica diventa quindi il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criterio con cui misurare ogni altra figura profetica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68F788A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pict w14:anchorId="20814E99">
          <v:rect id="_x0000_i1053" style="width:0;height:1.5pt" o:hralign="center" o:hrstd="t" o:hr="t" fillcolor="#a0a0a0" stroked="f"/>
        </w:pict>
      </w:r>
    </w:p>
    <w:p w14:paraId="190FF378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4. Il problema interpretativo di </w:t>
      </w:r>
      <w:proofErr w:type="spellStart"/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Dt</w:t>
      </w:r>
      <w:proofErr w:type="spellEnd"/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34,10</w:t>
      </w:r>
    </w:p>
    <w:p w14:paraId="13FBF1F4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L’affermazione «non è più sorto un profeta come Mosè» presenta però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un’ambiguità interpretativa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37DC953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Essa può essere compresa in due modi:</w:t>
      </w:r>
    </w:p>
    <w:p w14:paraId="4BA14B05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Interpretazione cronologica</w:t>
      </w:r>
    </w:p>
    <w:p w14:paraId="05C7DEC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Il testo affermerebbe che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dopo Mosè non sorgerà mai più un profeta della sua grandezza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FBB2C19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Interpretazione relativa al tempo del redattore</w:t>
      </w:r>
    </w:p>
    <w:p w14:paraId="2A979BD1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Oppure il testo può indicare semplicemente che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fino al momento in cui il redattore scrive non è sorto un profeta come 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lasciando aperta la possibilità di un futuro profeta simile.</w:t>
      </w:r>
    </w:p>
    <w:p w14:paraId="15416783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Questa ambiguità apre una questione fondamentale:</w:t>
      </w:r>
    </w:p>
    <w:p w14:paraId="092CC41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dichiarazione deve essere letta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in senso storico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oppure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in senso canonico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cioè all’interno della logica del testo biblico nel suo insieme.</w:t>
      </w:r>
    </w:p>
    <w:p w14:paraId="156C56DE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pict w14:anchorId="1BB1048C">
          <v:rect id="_x0000_i1054" style="width:0;height:1.5pt" o:hralign="center" o:hrstd="t" o:hr="t" fillcolor="#a0a0a0" stroked="f"/>
        </w:pict>
      </w:r>
    </w:p>
    <w:p w14:paraId="784D3D50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La distinzione tra Mosè storico e Mosè testuale</w:t>
      </w:r>
    </w:p>
    <w:p w14:paraId="46362EE2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Per affrontare la questione è necessario distinguere due livelli:</w:t>
      </w:r>
    </w:p>
    <w:p w14:paraId="27B161A7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5.1 Mosè storico</w:t>
      </w:r>
    </w:p>
    <w:p w14:paraId="5AFC1D6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personaggio reale collocato nella storia di Israele.</w:t>
      </w:r>
    </w:p>
    <w:p w14:paraId="1501F608" w14:textId="77777777" w:rsidR="003151A3" w:rsidRPr="003151A3" w:rsidRDefault="003151A3" w:rsidP="003151A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 Mosè testuale</w:t>
      </w:r>
    </w:p>
    <w:p w14:paraId="0748480F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figura costruita all’interno del testo biblico dalla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voce narrante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B010EEF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problema interpretativo riguarda soprattutto il secondo livello.</w:t>
      </w:r>
    </w:p>
    <w:p w14:paraId="72A6DC75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domanda non è soltanto se nella storia sia esistito un profeta pari a Mosè, ma se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il testo canonico lasci spazio alla possibilità di un nuovo 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6647B9A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pict w14:anchorId="710834D7">
          <v:rect id="_x0000_i1055" style="width:0;height:1.5pt" o:hralign="center" o:hrstd="t" o:hr="t" fillcolor="#a0a0a0" stroked="f"/>
        </w:pict>
      </w:r>
    </w:p>
    <w:p w14:paraId="57E6899A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Il testo decisivo: Deuteronomio 18</w:t>
      </w:r>
    </w:p>
    <w:p w14:paraId="4239BDCD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Per comprendere questo problema occorre analizzare </w:t>
      </w:r>
      <w:proofErr w:type="spellStart"/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Dt</w:t>
      </w:r>
      <w:proofErr w:type="spellEnd"/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18,15-22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dove Mosè stesso annuncia:</w:t>
      </w:r>
    </w:p>
    <w:p w14:paraId="3C3327A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«Il Signore susciterà per te un profeta come me in mezzo ai tuoi fratelli».</w:t>
      </w:r>
    </w:p>
    <w:p w14:paraId="11861F9F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lastRenderedPageBreak/>
        <w:t>Qui emerge un elemento sorprendente:</w:t>
      </w:r>
    </w:p>
    <w:p w14:paraId="6177CF55" w14:textId="77777777" w:rsidR="003151A3" w:rsidRPr="003151A3" w:rsidRDefault="003151A3" w:rsidP="003151A3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nel capitolo 34 il narratore afferma che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non è sorto un profeta come Mosè</w:t>
      </w:r>
    </w:p>
    <w:p w14:paraId="4C59CF0A" w14:textId="77777777" w:rsidR="003151A3" w:rsidRPr="003151A3" w:rsidRDefault="003151A3" w:rsidP="003151A3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nel capitolo 18 Mosè annuncia invece che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Dio susciterà un profeta come lui</w:t>
      </w:r>
    </w:p>
    <w:p w14:paraId="2C688056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Questa tensione testuale diventa un nodo interpretativo decisivo.</w:t>
      </w:r>
    </w:p>
    <w:p w14:paraId="40102494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pict w14:anchorId="62E00EF8">
          <v:rect id="_x0000_i1056" style="width:0;height:1.5pt" o:hralign="center" o:hrstd="t" o:hr="t" fillcolor="#a0a0a0" stroked="f"/>
        </w:pict>
      </w:r>
    </w:p>
    <w:p w14:paraId="46582A97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Struttura dialogica del testo</w:t>
      </w:r>
    </w:p>
    <w:p w14:paraId="3F66C11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passo di Deuteronomio 18 presenta una struttura dialogica complessa:</w:t>
      </w:r>
    </w:p>
    <w:p w14:paraId="640B62B4" w14:textId="77777777" w:rsidR="003151A3" w:rsidRPr="003151A3" w:rsidRDefault="003151A3" w:rsidP="003151A3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Mosè parla al popolo</w:t>
      </w:r>
    </w:p>
    <w:p w14:paraId="23D6862F" w14:textId="77777777" w:rsidR="003151A3" w:rsidRPr="003151A3" w:rsidRDefault="003151A3" w:rsidP="003151A3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Dio parla a Mosè</w:t>
      </w:r>
    </w:p>
    <w:p w14:paraId="77E67709" w14:textId="77777777" w:rsidR="003151A3" w:rsidRPr="003151A3" w:rsidRDefault="003151A3" w:rsidP="003151A3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Mosè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riporta al popolo le parole di Dio</w:t>
      </w:r>
    </w:p>
    <w:p w14:paraId="5F719CCA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In questo modo il testo costruisce una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catena di trasmissione della parola profetica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498C96D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48AB2B77">
          <v:rect id="_x0000_i1057" alt="" style="width:481.9pt;height:.05pt;mso-width-percent:0;mso-height-percent:0;mso-width-percent:0;mso-height-percent:0" o:hralign="center" o:hrstd="t" o:hr="t" fillcolor="#a0a0a0" stroked="f"/>
        </w:pict>
      </w:r>
    </w:p>
    <w:p w14:paraId="14741E7C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Il criterio di autenticità del profeta</w:t>
      </w:r>
    </w:p>
    <w:p w14:paraId="45C24440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Nel medesimo capitolo viene indicato anche il criterio per distinguere il vero profeta dal falso profeta.</w:t>
      </w:r>
    </w:p>
    <w:p w14:paraId="48C136D9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principio è molto semplice:</w:t>
      </w:r>
    </w:p>
    <w:p w14:paraId="3761F661" w14:textId="77777777" w:rsidR="003151A3" w:rsidRPr="003151A3" w:rsidRDefault="003151A3" w:rsidP="003151A3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se la parola pronunciata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si realizza nella storia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il profeta è autentico</w:t>
      </w:r>
    </w:p>
    <w:p w14:paraId="4435AF05" w14:textId="77777777" w:rsidR="003151A3" w:rsidRPr="003151A3" w:rsidRDefault="003151A3" w:rsidP="003151A3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se la parola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non si realizza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il profeta è falso.</w:t>
      </w:r>
    </w:p>
    <w:p w14:paraId="5A882D1B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Questo criterio definisce 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dimensione performativa della parola profetica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53739EE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69AF593B">
          <v:rect id="_x0000_i1058" alt="" style="width:481.9pt;height:.05pt;mso-width-percent:0;mso-height-percent:0;mso-width-percent:0;mso-height-percent:0" o:hralign="center" o:hrstd="t" o:hr="t" fillcolor="#a0a0a0" stroked="f"/>
        </w:pict>
      </w:r>
    </w:p>
    <w:p w14:paraId="22B62020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La parola performativa</w:t>
      </w:r>
    </w:p>
    <w:p w14:paraId="3FFB3C19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parola profetica non è semplicemente informativa ma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trasformativa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43D6812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Essa possiede una capacità di:</w:t>
      </w:r>
    </w:p>
    <w:p w14:paraId="62CE3DF9" w14:textId="77777777" w:rsidR="003151A3" w:rsidRPr="003151A3" w:rsidRDefault="003151A3" w:rsidP="003151A3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incidere sulla storia</w:t>
      </w:r>
    </w:p>
    <w:p w14:paraId="1D2C6595" w14:textId="77777777" w:rsidR="003151A3" w:rsidRPr="003151A3" w:rsidRDefault="003151A3" w:rsidP="003151A3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provocare conversione</w:t>
      </w:r>
    </w:p>
    <w:p w14:paraId="4B41BCBA" w14:textId="77777777" w:rsidR="003151A3" w:rsidRPr="003151A3" w:rsidRDefault="003151A3" w:rsidP="003151A3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produrre cambiamenti nella realtà.</w:t>
      </w:r>
    </w:p>
    <w:p w14:paraId="33F1FCDE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Questa dinamica richiama la stessa logica della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parola creatrice di Dio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nei racconti della creazione:</w:t>
      </w:r>
    </w:p>
    <w:p w14:paraId="657EAD8F" w14:textId="77777777" w:rsidR="003151A3" w:rsidRPr="003151A3" w:rsidRDefault="003151A3" w:rsidP="003151A3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lastRenderedPageBreak/>
        <w:t>«Sia la luce»</w:t>
      </w:r>
    </w:p>
    <w:p w14:paraId="47D529C8" w14:textId="77777777" w:rsidR="003151A3" w:rsidRPr="003151A3" w:rsidRDefault="003151A3" w:rsidP="003151A3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«e la luce fu».</w:t>
      </w:r>
    </w:p>
    <w:p w14:paraId="57B0A789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parola divina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produce ciò che dice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F18105B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06FF26F2">
          <v:rect id="_x0000_i1059" alt="" style="width:481.9pt;height:.05pt;mso-width-percent:0;mso-height-percent:0;mso-width-percent:0;mso-height-percent:0" o:hralign="center" o:hrstd="t" o:hr="t" fillcolor="#a0a0a0" stroked="f"/>
        </w:pict>
      </w:r>
    </w:p>
    <w:p w14:paraId="493847E1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Conseguenze teologiche</w:t>
      </w:r>
    </w:p>
    <w:p w14:paraId="0F2A4DE5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Alla luce di questi testi emergono alcune conclusioni importanti:</w:t>
      </w:r>
    </w:p>
    <w:p w14:paraId="64FB04C9" w14:textId="77777777" w:rsidR="003151A3" w:rsidRPr="003151A3" w:rsidRDefault="003151A3" w:rsidP="003151A3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Mosè è il modello originario della profezia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legato alla Torah e all’alleanza.</w:t>
      </w:r>
    </w:p>
    <w:p w14:paraId="0CF36E83" w14:textId="77777777" w:rsidR="003151A3" w:rsidRPr="003151A3" w:rsidRDefault="003151A3" w:rsidP="003151A3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Il Deuteronomio lascia aperta la possibilità della comparsa di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un profeta simile a 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1E342BF" w14:textId="77777777" w:rsidR="003151A3" w:rsidRPr="003151A3" w:rsidRDefault="003151A3" w:rsidP="003151A3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La figura di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, richiamata nella conclusione di Malachia, appare come possibile realizzazione di questa attesa.</w:t>
      </w:r>
    </w:p>
    <w:p w14:paraId="36848B34" w14:textId="77777777" w:rsidR="003151A3" w:rsidRPr="003151A3" w:rsidRDefault="003151A3" w:rsidP="003151A3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L’intera tradizione profetica si sviluppa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tra la memoria mosaica e l’attesa escatologica di 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5DD2070" w14:textId="77777777" w:rsidR="003151A3" w:rsidRPr="003151A3" w:rsidRDefault="003151A3" w:rsidP="003151A3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noProof/>
          <w:kern w:val="0"/>
          <w:lang w:eastAsia="it-IT"/>
          <w14:ligatures w14:val="none"/>
        </w:rPr>
      </w:r>
      <w:r w:rsidR="003151A3" w:rsidRPr="003151A3">
        <w:rPr>
          <w:rFonts w:eastAsia="Times New Roman" w:cs="Times New Roman"/>
          <w:noProof/>
          <w:kern w:val="0"/>
          <w:lang w:eastAsia="it-IT"/>
          <w14:ligatures w14:val="none"/>
        </w:rPr>
        <w:pict w14:anchorId="0585C4B8">
          <v:rect id="_x0000_i1060" alt="" style="width:481.9pt;height:.05pt;mso-width-percent:0;mso-height-percent:0;mso-width-percent:0;mso-height-percent:0" o:hralign="center" o:hrstd="t" o:hr="t" fillcolor="#a0a0a0" stroked="f"/>
        </w:pict>
      </w:r>
    </w:p>
    <w:p w14:paraId="5F32144B" w14:textId="77777777" w:rsidR="003151A3" w:rsidRPr="003151A3" w:rsidRDefault="003151A3" w:rsidP="003151A3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Prospettiva interpretativa</w:t>
      </w:r>
    </w:p>
    <w:p w14:paraId="1F417683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Il rapporto tra Mosè ed Elia non è dunque semplicemente storico, ma </w:t>
      </w: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canonico e teologico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D6C3D55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Il testo biblico costruisce una tensione narrativa:</w:t>
      </w:r>
    </w:p>
    <w:p w14:paraId="2C79B322" w14:textId="77777777" w:rsidR="003151A3" w:rsidRPr="003151A3" w:rsidRDefault="003151A3" w:rsidP="003151A3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rappresenta l’origine della rivelazione.</w:t>
      </w:r>
    </w:p>
    <w:p w14:paraId="53D9DD3E" w14:textId="77777777" w:rsidR="003151A3" w:rsidRPr="003151A3" w:rsidRDefault="003151A3" w:rsidP="003151A3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3151A3">
        <w:rPr>
          <w:rFonts w:eastAsia="Times New Roman" w:cs="Times New Roman"/>
          <w:kern w:val="0"/>
          <w:lang w:eastAsia="it-IT"/>
          <w14:ligatures w14:val="none"/>
        </w:rPr>
        <w:t xml:space="preserve"> rappresenta la sua riattualizzazione escatologica.</w:t>
      </w:r>
    </w:p>
    <w:p w14:paraId="68096EB6" w14:textId="77777777" w:rsidR="003151A3" w:rsidRPr="003151A3" w:rsidRDefault="003151A3" w:rsidP="003151A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3151A3">
        <w:rPr>
          <w:rFonts w:eastAsia="Times New Roman" w:cs="Times New Roman"/>
          <w:kern w:val="0"/>
          <w:lang w:eastAsia="it-IT"/>
          <w14:ligatures w14:val="none"/>
        </w:rPr>
        <w:t>Tra queste due figure si colloca l’intero fenomeno profetico di Israele.</w:t>
      </w:r>
    </w:p>
    <w:p w14:paraId="5C38370A" w14:textId="29A734E5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807E" w14:textId="77777777" w:rsidR="00EC6B3A" w:rsidRDefault="00EC6B3A" w:rsidP="003151A3">
      <w:r>
        <w:separator/>
      </w:r>
    </w:p>
  </w:endnote>
  <w:endnote w:type="continuationSeparator" w:id="0">
    <w:p w14:paraId="2051D411" w14:textId="77777777" w:rsidR="00EC6B3A" w:rsidRDefault="00EC6B3A" w:rsidP="003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16047035"/>
      <w:docPartObj>
        <w:docPartGallery w:val="Page Numbers (Bottom of Page)"/>
        <w:docPartUnique/>
      </w:docPartObj>
    </w:sdtPr>
    <w:sdtContent>
      <w:p w14:paraId="0D453007" w14:textId="47CAF2F2" w:rsidR="003151A3" w:rsidRDefault="003151A3" w:rsidP="000B2D3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C5D95B5" w14:textId="77777777" w:rsidR="003151A3" w:rsidRDefault="003151A3" w:rsidP="00315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13217350"/>
      <w:docPartObj>
        <w:docPartGallery w:val="Page Numbers (Bottom of Page)"/>
        <w:docPartUnique/>
      </w:docPartObj>
    </w:sdtPr>
    <w:sdtContent>
      <w:p w14:paraId="435373F5" w14:textId="54F0DE0A" w:rsidR="003151A3" w:rsidRDefault="003151A3" w:rsidP="000B2D3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0F54CD44" w14:textId="77777777" w:rsidR="003151A3" w:rsidRDefault="003151A3" w:rsidP="003151A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CBDD" w14:textId="77777777" w:rsidR="00EC6B3A" w:rsidRDefault="00EC6B3A" w:rsidP="003151A3">
      <w:r>
        <w:separator/>
      </w:r>
    </w:p>
  </w:footnote>
  <w:footnote w:type="continuationSeparator" w:id="0">
    <w:p w14:paraId="0705EADA" w14:textId="77777777" w:rsidR="00EC6B3A" w:rsidRDefault="00EC6B3A" w:rsidP="0031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ACD"/>
    <w:multiLevelType w:val="multilevel"/>
    <w:tmpl w:val="5742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4E5B"/>
    <w:multiLevelType w:val="multilevel"/>
    <w:tmpl w:val="7F2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C6329"/>
    <w:multiLevelType w:val="multilevel"/>
    <w:tmpl w:val="E4CA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92610"/>
    <w:multiLevelType w:val="multilevel"/>
    <w:tmpl w:val="DEC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E449A"/>
    <w:multiLevelType w:val="multilevel"/>
    <w:tmpl w:val="02A2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D39C4"/>
    <w:multiLevelType w:val="multilevel"/>
    <w:tmpl w:val="AA00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D2686"/>
    <w:multiLevelType w:val="multilevel"/>
    <w:tmpl w:val="218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56055"/>
    <w:multiLevelType w:val="multilevel"/>
    <w:tmpl w:val="AC2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053B9"/>
    <w:multiLevelType w:val="multilevel"/>
    <w:tmpl w:val="2C12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85A59"/>
    <w:multiLevelType w:val="multilevel"/>
    <w:tmpl w:val="BBF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E21D9"/>
    <w:multiLevelType w:val="multilevel"/>
    <w:tmpl w:val="922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717E4"/>
    <w:multiLevelType w:val="multilevel"/>
    <w:tmpl w:val="729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D0F96"/>
    <w:multiLevelType w:val="multilevel"/>
    <w:tmpl w:val="446C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C11A2"/>
    <w:multiLevelType w:val="multilevel"/>
    <w:tmpl w:val="686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261AC"/>
    <w:multiLevelType w:val="multilevel"/>
    <w:tmpl w:val="A9C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6407F"/>
    <w:multiLevelType w:val="multilevel"/>
    <w:tmpl w:val="0B1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24CF2"/>
    <w:multiLevelType w:val="multilevel"/>
    <w:tmpl w:val="3E1E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06FE2"/>
    <w:multiLevelType w:val="multilevel"/>
    <w:tmpl w:val="F1C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E3089"/>
    <w:multiLevelType w:val="multilevel"/>
    <w:tmpl w:val="6830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75F37"/>
    <w:multiLevelType w:val="multilevel"/>
    <w:tmpl w:val="28F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723D"/>
    <w:multiLevelType w:val="multilevel"/>
    <w:tmpl w:val="D3CE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86541B"/>
    <w:multiLevelType w:val="multilevel"/>
    <w:tmpl w:val="8EB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759B2"/>
    <w:multiLevelType w:val="multilevel"/>
    <w:tmpl w:val="B02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71873"/>
    <w:multiLevelType w:val="multilevel"/>
    <w:tmpl w:val="667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233027">
    <w:abstractNumId w:val="9"/>
  </w:num>
  <w:num w:numId="2" w16cid:durableId="965893143">
    <w:abstractNumId w:val="17"/>
  </w:num>
  <w:num w:numId="3" w16cid:durableId="66076148">
    <w:abstractNumId w:val="7"/>
  </w:num>
  <w:num w:numId="4" w16cid:durableId="216665888">
    <w:abstractNumId w:val="0"/>
  </w:num>
  <w:num w:numId="5" w16cid:durableId="1502506233">
    <w:abstractNumId w:val="14"/>
  </w:num>
  <w:num w:numId="6" w16cid:durableId="820467720">
    <w:abstractNumId w:val="16"/>
  </w:num>
  <w:num w:numId="7" w16cid:durableId="1000960773">
    <w:abstractNumId w:val="23"/>
  </w:num>
  <w:num w:numId="8" w16cid:durableId="1086994991">
    <w:abstractNumId w:val="13"/>
  </w:num>
  <w:num w:numId="9" w16cid:durableId="1770924417">
    <w:abstractNumId w:val="18"/>
  </w:num>
  <w:num w:numId="10" w16cid:durableId="139615525">
    <w:abstractNumId w:val="19"/>
  </w:num>
  <w:num w:numId="11" w16cid:durableId="1149175383">
    <w:abstractNumId w:val="4"/>
  </w:num>
  <w:num w:numId="12" w16cid:durableId="543255771">
    <w:abstractNumId w:val="15"/>
  </w:num>
  <w:num w:numId="13" w16cid:durableId="169833881">
    <w:abstractNumId w:val="11"/>
  </w:num>
  <w:num w:numId="14" w16cid:durableId="863597689">
    <w:abstractNumId w:val="5"/>
  </w:num>
  <w:num w:numId="15" w16cid:durableId="1533299031">
    <w:abstractNumId w:val="3"/>
  </w:num>
  <w:num w:numId="16" w16cid:durableId="1830437906">
    <w:abstractNumId w:val="12"/>
  </w:num>
  <w:num w:numId="17" w16cid:durableId="1451360720">
    <w:abstractNumId w:val="8"/>
  </w:num>
  <w:num w:numId="18" w16cid:durableId="546337980">
    <w:abstractNumId w:val="6"/>
  </w:num>
  <w:num w:numId="19" w16cid:durableId="2068450000">
    <w:abstractNumId w:val="2"/>
  </w:num>
  <w:num w:numId="20" w16cid:durableId="1151291887">
    <w:abstractNumId w:val="20"/>
  </w:num>
  <w:num w:numId="21" w16cid:durableId="653342455">
    <w:abstractNumId w:val="22"/>
  </w:num>
  <w:num w:numId="22" w16cid:durableId="987710897">
    <w:abstractNumId w:val="21"/>
  </w:num>
  <w:num w:numId="23" w16cid:durableId="1520852154">
    <w:abstractNumId w:val="10"/>
  </w:num>
  <w:num w:numId="24" w16cid:durableId="125705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FA"/>
    <w:rsid w:val="00006052"/>
    <w:rsid w:val="00013203"/>
    <w:rsid w:val="00077858"/>
    <w:rsid w:val="003151A3"/>
    <w:rsid w:val="0032602B"/>
    <w:rsid w:val="0037151B"/>
    <w:rsid w:val="00382C35"/>
    <w:rsid w:val="003B3B00"/>
    <w:rsid w:val="003B614F"/>
    <w:rsid w:val="005206C0"/>
    <w:rsid w:val="005734FA"/>
    <w:rsid w:val="00583F5A"/>
    <w:rsid w:val="00760391"/>
    <w:rsid w:val="00C5790C"/>
    <w:rsid w:val="00EC6B3A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4447"/>
  <w15:chartTrackingRefBased/>
  <w15:docId w15:val="{21E222C5-9991-3F42-8F59-1F178920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3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4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4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4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4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4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4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4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4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4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4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4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4FA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4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4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4FA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4F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734FA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734FA"/>
    <w:rPr>
      <w:b/>
      <w:bCs/>
    </w:rPr>
  </w:style>
  <w:style w:type="character" w:customStyle="1" w:styleId="relative">
    <w:name w:val="relative"/>
    <w:basedOn w:val="Carpredefinitoparagrafo"/>
    <w:rsid w:val="005734FA"/>
  </w:style>
  <w:style w:type="paragraph" w:customStyle="1" w:styleId="not-prose">
    <w:name w:val="not-prose"/>
    <w:basedOn w:val="Normale"/>
    <w:rsid w:val="005734FA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3151A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3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1A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31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864</Words>
  <Characters>5432</Characters>
  <Application>Microsoft Office Word</Application>
  <DocSecurity>0</DocSecurity>
  <Lines>92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2026-03-05T21:37:00Z</dcterms:created>
  <dcterms:modified xsi:type="dcterms:W3CDTF">2026-03-05T22:05:00Z</dcterms:modified>
</cp:coreProperties>
</file>