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A70E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Introduzione al corso sui libri profetici – Quarta parte</w:t>
      </w:r>
    </w:p>
    <w:p w14:paraId="2A398FB1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Sede ISSR di Novara – ITA Novara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venerdì 6 febbraio 2026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17,30–18,15</w:t>
      </w:r>
    </w:p>
    <w:p w14:paraId="7D4A3757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Fonte primaria: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sbobinatura della lezione </w:t>
      </w:r>
    </w:p>
    <w:p w14:paraId="2339EDB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26-02-06 Corso Profeti_04 (</w:t>
      </w:r>
      <w:proofErr w:type="spellStart"/>
      <w:r w:rsidRPr="005859F6">
        <w:rPr>
          <w:rFonts w:eastAsia="Times New Roman" w:cs="Times New Roman"/>
          <w:kern w:val="0"/>
          <w:lang w:eastAsia="it-IT"/>
          <w14:ligatures w14:val="none"/>
        </w:rPr>
        <w:t>sbob</w:t>
      </w:r>
      <w:proofErr w:type="spellEnd"/>
      <w:r w:rsidRPr="005859F6">
        <w:rPr>
          <w:rFonts w:eastAsia="Times New Roman" w:cs="Times New Roman"/>
          <w:kern w:val="0"/>
          <w:lang w:eastAsia="it-IT"/>
          <w14:ligatures w14:val="none"/>
        </w:rPr>
        <w:t>…</w:t>
      </w:r>
    </w:p>
    <w:p w14:paraId="0061F2C8" w14:textId="77777777" w:rsidR="005859F6" w:rsidRPr="005859F6" w:rsidRDefault="005859F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📌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Allineamento concettuale: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Dispense, cap. 2.1 (radice dell’aporia storia/letteratura)</w:t>
      </w:r>
    </w:p>
    <w:p w14:paraId="48AB9FF3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68C0EF3A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B23F714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Alla radice del problema: la testualità come esperienza</w:t>
      </w:r>
    </w:p>
    <w:p w14:paraId="2DCAC5A2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(sviluppo orale autonomo rispetto alle dispense)</w:t>
      </w:r>
    </w:p>
    <w:p w14:paraId="570CABFF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2.1. Perché parlare di pratiche scribali</w:t>
      </w:r>
    </w:p>
    <w:p w14:paraId="1C2F2ECE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docente apre dichiarando esplicitamente che quanto segue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non è presente negli appunti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ma è necessario per:</w:t>
      </w:r>
    </w:p>
    <w:p w14:paraId="59234E28" w14:textId="77777777" w:rsidR="005859F6" w:rsidRPr="005859F6" w:rsidRDefault="005859F6" w:rsidP="005859F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attivare l’immaginazione storica;</w:t>
      </w:r>
    </w:p>
    <w:p w14:paraId="3A7A2CA6" w14:textId="77777777" w:rsidR="005859F6" w:rsidRPr="005859F6" w:rsidRDefault="005859F6" w:rsidP="005859F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comprendere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come nasce concretamente un testo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7C0FA728" w14:textId="77777777" w:rsidR="005859F6" w:rsidRPr="005859F6" w:rsidRDefault="005859F6" w:rsidP="005859F6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evitare di trattare la Bibbia come un oggetto astratto.</w:t>
      </w:r>
    </w:p>
    <w:p w14:paraId="7F8C94FA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L’obiettivo non è tecnico, 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ermeneutico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il modo in cui un testo è scritto condiziona profondamente il modo in cui viene letto e interpretato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4F3C26F1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29EB5196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1AEC996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2.1.1. I materiali della scrittura: papiro e pergamena</w:t>
      </w:r>
    </w:p>
    <w:p w14:paraId="397857C2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a) Il papiro</w:t>
      </w:r>
    </w:p>
    <w:p w14:paraId="58CB8644" w14:textId="77777777"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materiale botanico;</w:t>
      </w:r>
    </w:p>
    <w:p w14:paraId="12EAC1E9" w14:textId="77777777"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prodotto soprattutto in Egitto (zona del Nilo);</w:t>
      </w:r>
    </w:p>
    <w:p w14:paraId="531DCE00" w14:textId="77777777"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molto diffuso e relativamente economico;</w:t>
      </w:r>
    </w:p>
    <w:p w14:paraId="3974C558" w14:textId="77777777" w:rsidR="005859F6" w:rsidRPr="005859F6" w:rsidRDefault="005859F6" w:rsidP="005859F6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meno resistente nel tempo.</w:t>
      </w:r>
    </w:p>
    <w:p w14:paraId="4FC397A9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b) La pergamena</w:t>
      </w:r>
    </w:p>
    <w:p w14:paraId="1D9E0E4E" w14:textId="77777777"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materiale animale (pelli trattate);</w:t>
      </w:r>
    </w:p>
    <w:p w14:paraId="53978CFE" w14:textId="77777777"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diffusione a partire dal III sec. a.C., area dell’Asia Minore (Pergamo);</w:t>
      </w:r>
    </w:p>
    <w:p w14:paraId="7808D120" w14:textId="77777777" w:rsidR="005859F6" w:rsidRPr="005859F6" w:rsidRDefault="005859F6" w:rsidP="005859F6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più costosa ma molto più resistente.</w:t>
      </w:r>
    </w:p>
    <w:p w14:paraId="054BA53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Il docente chiarisce che qui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non si parla ancora di Bibbia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, ma delle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pratiche scribali in generale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per comprendere il contesto culturale comune.</w:t>
      </w:r>
    </w:p>
    <w:p w14:paraId="420D50A5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49136A42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3DBAFD9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2.1.2. Le forme della scrittura: rotolo e codice</w:t>
      </w:r>
    </w:p>
    <w:p w14:paraId="6DF5CC81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a) Il rotolo</w:t>
      </w:r>
    </w:p>
    <w:p w14:paraId="09B3654E" w14:textId="77777777"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forma dominante fino al I sec. d.C.;</w:t>
      </w:r>
    </w:p>
    <w:p w14:paraId="42421F4D" w14:textId="77777777"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può essere di papiro o di pergamena;</w:t>
      </w:r>
    </w:p>
    <w:p w14:paraId="7DB7AF20" w14:textId="77777777"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si legge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svolgendolo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progressivamente;</w:t>
      </w:r>
    </w:p>
    <w:p w14:paraId="0AC65CE2" w14:textId="77777777" w:rsidR="005859F6" w:rsidRPr="005859F6" w:rsidRDefault="005859F6" w:rsidP="005859F6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direzione della lettura dipendente dalla lingua (ebraico / greco / latino).</w:t>
      </w:r>
    </w:p>
    <w:p w14:paraId="76E6001F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rotolo implica una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temporalità della lettura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709FA40A" w14:textId="77777777" w:rsidR="005859F6" w:rsidRPr="005859F6" w:rsidRDefault="005859F6" w:rsidP="005859F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non consente accesso immediato a un punto preciso;</w:t>
      </w:r>
    </w:p>
    <w:p w14:paraId="3764FA5C" w14:textId="77777777" w:rsidR="005859F6" w:rsidRPr="005859F6" w:rsidRDefault="005859F6" w:rsidP="005859F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richiede un procedere continuo;</w:t>
      </w:r>
    </w:p>
    <w:p w14:paraId="37E57676" w14:textId="77777777" w:rsidR="005859F6" w:rsidRPr="005859F6" w:rsidRDefault="005859F6" w:rsidP="005859F6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accompagna il lettore dentro una storia.</w:t>
      </w:r>
    </w:p>
    <w:p w14:paraId="78FE5AF0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b) Il codice</w:t>
      </w:r>
    </w:p>
    <w:p w14:paraId="50F3B3BB" w14:textId="77777777" w:rsidR="005859F6" w:rsidRPr="005859F6" w:rsidRDefault="005859F6" w:rsidP="005859F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diffusione crescente dal I–II sec. d.C.;</w:t>
      </w:r>
    </w:p>
    <w:p w14:paraId="3042E13B" w14:textId="77777777" w:rsidR="005859F6" w:rsidRPr="005859F6" w:rsidRDefault="005859F6" w:rsidP="005859F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fogli piegati, cuciti e rilegati;</w:t>
      </w:r>
    </w:p>
    <w:p w14:paraId="10C7552D" w14:textId="77777777" w:rsidR="005859F6" w:rsidRPr="005859F6" w:rsidRDefault="005859F6" w:rsidP="005859F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consente accesso immediato a un punto del testo;</w:t>
      </w:r>
    </w:p>
    <w:p w14:paraId="4A1B506D" w14:textId="77777777" w:rsidR="005859F6" w:rsidRPr="005859F6" w:rsidRDefault="005859F6" w:rsidP="005859F6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maggiore densità di testo in minor spazio.</w:t>
      </w:r>
    </w:p>
    <w:p w14:paraId="14E93E77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codice modifica radicalmente il rapporto con la scrittura:</w:t>
      </w:r>
    </w:p>
    <w:p w14:paraId="530E1F0A" w14:textId="77777777" w:rsidR="005859F6" w:rsidRPr="005859F6" w:rsidRDefault="005859F6" w:rsidP="005859F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favorisce la consultazione;</w:t>
      </w:r>
    </w:p>
    <w:p w14:paraId="5FC9AB3B" w14:textId="77777777" w:rsidR="005859F6" w:rsidRPr="005859F6" w:rsidRDefault="005859F6" w:rsidP="005859F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consente l’analisi puntuale;</w:t>
      </w:r>
    </w:p>
    <w:p w14:paraId="56BAE627" w14:textId="77777777" w:rsidR="005859F6" w:rsidRPr="005859F6" w:rsidRDefault="005859F6" w:rsidP="005859F6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abilita lo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studio sistematico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B1C3956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1D7E8C4A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64D089E8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2.1.3. Due esperienze di lettura, due antropologie</w:t>
      </w:r>
    </w:p>
    <w:p w14:paraId="2F47782D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docente propone un confronto simbolico molto efficace:</w:t>
      </w:r>
    </w:p>
    <w:p w14:paraId="63DA2997" w14:textId="77777777" w:rsidR="005859F6" w:rsidRPr="005859F6" w:rsidRDefault="005859F6" w:rsidP="005859F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rotolo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esperienza del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film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del movimento, del divenire;</w:t>
      </w:r>
    </w:p>
    <w:p w14:paraId="437A7E7D" w14:textId="77777777" w:rsidR="005859F6" w:rsidRPr="005859F6" w:rsidRDefault="005859F6" w:rsidP="005859F6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codice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esperienza della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slide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dell’immagine fissa, dell’analisi.</w:t>
      </w:r>
    </w:p>
    <w:p w14:paraId="4D536C2F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rotolo:</w:t>
      </w:r>
    </w:p>
    <w:p w14:paraId="146A1AB2" w14:textId="77777777" w:rsidR="005859F6" w:rsidRPr="005859F6" w:rsidRDefault="005859F6" w:rsidP="005859F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avvolge il lettore;</w:t>
      </w:r>
    </w:p>
    <w:p w14:paraId="458EED6A" w14:textId="77777777" w:rsidR="005859F6" w:rsidRPr="005859F6" w:rsidRDefault="005859F6" w:rsidP="005859F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lo immerge nella storia;</w:t>
      </w:r>
    </w:p>
    <w:p w14:paraId="1736D1AE" w14:textId="77777777" w:rsidR="005859F6" w:rsidRPr="005859F6" w:rsidRDefault="005859F6" w:rsidP="005859F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privilegia la continuità narrativa.</w:t>
      </w:r>
    </w:p>
    <w:p w14:paraId="2D16AF58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codice:</w:t>
      </w:r>
    </w:p>
    <w:p w14:paraId="5A51801C" w14:textId="77777777" w:rsidR="005859F6" w:rsidRPr="005859F6" w:rsidRDefault="005859F6" w:rsidP="005859F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lastRenderedPageBreak/>
        <w:t>isola la pagina;</w:t>
      </w:r>
    </w:p>
    <w:p w14:paraId="03AC9468" w14:textId="77777777" w:rsidR="005859F6" w:rsidRPr="005859F6" w:rsidRDefault="005859F6" w:rsidP="005859F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consente lo scavo del senso;</w:t>
      </w:r>
    </w:p>
    <w:p w14:paraId="0EC61248" w14:textId="77777777" w:rsidR="005859F6" w:rsidRPr="005859F6" w:rsidRDefault="005859F6" w:rsidP="005859F6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favorisce l’articolazione concettuale.</w:t>
      </w:r>
    </w:p>
    <w:p w14:paraId="5FB805F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Non si tratta di superiorità, ma di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diverse posture ermeneutiche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1CA665F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088EF9C4"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14:paraId="3CC60B7A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2.1.4. Tradizione ebraica: la sacralità del rotolo</w:t>
      </w:r>
    </w:p>
    <w:p w14:paraId="14B30D4E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Nella tradizione ebraica:</w:t>
      </w:r>
    </w:p>
    <w:p w14:paraId="341235D7" w14:textId="77777777" w:rsidR="005859F6" w:rsidRPr="005859F6" w:rsidRDefault="005859F6" w:rsidP="005859F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testo sacro è il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rotolo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non il codice;</w:t>
      </w:r>
    </w:p>
    <w:p w14:paraId="39A83E0A" w14:textId="77777777" w:rsidR="005859F6" w:rsidRPr="005859F6" w:rsidRDefault="005859F6" w:rsidP="005859F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rotolo della Torah è:</w:t>
      </w:r>
    </w:p>
    <w:p w14:paraId="0660E3AC" w14:textId="77777777" w:rsidR="005859F6" w:rsidRPr="005859F6" w:rsidRDefault="005859F6" w:rsidP="005859F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scritto solo con consonanti;</w:t>
      </w:r>
    </w:p>
    <w:p w14:paraId="4E0AEF63" w14:textId="77777777" w:rsidR="005859F6" w:rsidRPr="005859F6" w:rsidRDefault="005859F6" w:rsidP="005859F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trattato con norme di purità;</w:t>
      </w:r>
    </w:p>
    <w:p w14:paraId="148E81C2" w14:textId="77777777" w:rsidR="005859F6" w:rsidRPr="005859F6" w:rsidRDefault="005859F6" w:rsidP="005859F6">
      <w:pPr>
        <w:numPr>
          <w:ilvl w:val="1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non toccato direttamente (uso dello </w:t>
      </w:r>
      <w:proofErr w:type="spellStart"/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yad</w:t>
      </w:r>
      <w:proofErr w:type="spellEnd"/>
      <w:r w:rsidRPr="005859F6">
        <w:rPr>
          <w:rFonts w:eastAsia="Times New Roman" w:cs="Times New Roman"/>
          <w:kern w:val="0"/>
          <w:lang w:eastAsia="it-IT"/>
          <w14:ligatures w14:val="none"/>
        </w:rPr>
        <w:t>);</w:t>
      </w:r>
    </w:p>
    <w:p w14:paraId="3A14AC52" w14:textId="77777777" w:rsidR="005859F6" w:rsidRPr="005859F6" w:rsidRDefault="005859F6" w:rsidP="005859F6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la sacralità riguarda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la forma materiale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del testo.</w:t>
      </w:r>
    </w:p>
    <w:p w14:paraId="46238C26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Le Bibbie ebraiche in forma di codice:</w:t>
      </w:r>
    </w:p>
    <w:p w14:paraId="5CC456C9" w14:textId="77777777" w:rsidR="005859F6" w:rsidRPr="005859F6" w:rsidRDefault="005859F6" w:rsidP="005859F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sono strumenti di studio;</w:t>
      </w:r>
    </w:p>
    <w:p w14:paraId="734233B5" w14:textId="77777777" w:rsidR="005859F6" w:rsidRPr="005859F6" w:rsidRDefault="005859F6" w:rsidP="005859F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non hanno carattere sacrale;</w:t>
      </w:r>
    </w:p>
    <w:p w14:paraId="4DC6AD06" w14:textId="77777777" w:rsidR="005859F6" w:rsidRPr="005859F6" w:rsidRDefault="005859F6" w:rsidP="005859F6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possono essere toccate senza restrizioni.</w:t>
      </w:r>
    </w:p>
    <w:p w14:paraId="59E8AC3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Distinzione chiara tra:</w:t>
      </w:r>
    </w:p>
    <w:p w14:paraId="4E230561" w14:textId="77777777" w:rsidR="005859F6" w:rsidRPr="005859F6" w:rsidRDefault="005859F6" w:rsidP="005859F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testo per l’immersione cultuale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309246D0" w14:textId="77777777" w:rsidR="005859F6" w:rsidRPr="005859F6" w:rsidRDefault="005859F6" w:rsidP="005859F6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testo per lo studio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6B3549A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434F059C"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14:paraId="58C19D3E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2.1.5. Tradizione cristiana: l’adozione del codice</w:t>
      </w:r>
    </w:p>
    <w:p w14:paraId="16BA32C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cristianesimo:</w:t>
      </w:r>
    </w:p>
    <w:p w14:paraId="003A1126" w14:textId="77777777" w:rsidR="005859F6" w:rsidRPr="005859F6" w:rsidRDefault="005859F6" w:rsidP="005859F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adotta precocemente la forma del codice;</w:t>
      </w:r>
    </w:p>
    <w:p w14:paraId="4EB09C05" w14:textId="77777777" w:rsidR="005859F6" w:rsidRPr="005859F6" w:rsidRDefault="005859F6" w:rsidP="005859F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non inventa il codice, ma lo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diffonde sistematicamente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685E5504" w14:textId="77777777" w:rsidR="005859F6" w:rsidRPr="005859F6" w:rsidRDefault="005859F6" w:rsidP="005859F6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lo utilizza anche per i testi liturgici (lezionari).</w:t>
      </w:r>
    </w:p>
    <w:p w14:paraId="05F06395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Possibili motivazioni (non documentate, ma plausibili):</w:t>
      </w:r>
    </w:p>
    <w:p w14:paraId="7228F888" w14:textId="77777777" w:rsidR="005859F6" w:rsidRPr="005859F6" w:rsidRDefault="005859F6" w:rsidP="005859F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esigenze di rapidità e portabilità;</w:t>
      </w:r>
    </w:p>
    <w:p w14:paraId="28D37C75" w14:textId="0C1D9156" w:rsidR="005859F6" w:rsidRPr="005859F6" w:rsidRDefault="006A2326" w:rsidP="005859F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maggiormente economico e più capiente</w:t>
      </w:r>
      <w:r w:rsidR="005859F6"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545A6281" w14:textId="77777777" w:rsidR="005859F6" w:rsidRPr="005859F6" w:rsidRDefault="005859F6" w:rsidP="005859F6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necessità di difendere e trasmettere i testi.</w:t>
      </w:r>
    </w:p>
    <w:p w14:paraId="2A81CC1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risultato è una diversa ermeneutica:</w:t>
      </w:r>
    </w:p>
    <w:p w14:paraId="507ECD3E" w14:textId="77777777" w:rsidR="005859F6" w:rsidRPr="005859F6" w:rsidRDefault="005859F6" w:rsidP="005859F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non più immersione continua;</w:t>
      </w:r>
    </w:p>
    <w:p w14:paraId="2B94A349" w14:textId="77777777" w:rsidR="005859F6" w:rsidRPr="005859F6" w:rsidRDefault="005859F6" w:rsidP="005859F6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analisi della “sacra pagina”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048E03F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  <w:lastRenderedPageBreak/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42DAEFAD"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14:paraId="06CF7142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2.1.6. Dalla pagina ai sensi della Scrittura</w:t>
      </w:r>
    </w:p>
    <w:p w14:paraId="5F38B66F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docente collega la forma del codice allo sviluppo della tradizione monastica:</w:t>
      </w:r>
    </w:p>
    <w:p w14:paraId="1DBBB727" w14:textId="77777777" w:rsidR="005859F6" w:rsidRPr="005859F6" w:rsidRDefault="005859F6" w:rsidP="005859F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nascita della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lectio divina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456E20DE" w14:textId="77777777" w:rsidR="005859F6" w:rsidRPr="005859F6" w:rsidRDefault="005859F6" w:rsidP="005859F6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articolazione dei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quattro sensi della Scrittura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:</w:t>
      </w:r>
    </w:p>
    <w:p w14:paraId="2CEFCC5A" w14:textId="77777777" w:rsidR="005859F6" w:rsidRPr="005859F6" w:rsidRDefault="005859F6" w:rsidP="005859F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letterale;</w:t>
      </w:r>
    </w:p>
    <w:p w14:paraId="067F5B29" w14:textId="77777777" w:rsidR="005859F6" w:rsidRPr="005859F6" w:rsidRDefault="005859F6" w:rsidP="005859F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allegorico;</w:t>
      </w:r>
    </w:p>
    <w:p w14:paraId="5ED8EBCA" w14:textId="77777777" w:rsidR="005859F6" w:rsidRPr="005859F6" w:rsidRDefault="005859F6" w:rsidP="005859F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morale (tropologico);</w:t>
      </w:r>
    </w:p>
    <w:p w14:paraId="42DA918E" w14:textId="77777777" w:rsidR="005859F6" w:rsidRPr="005859F6" w:rsidRDefault="005859F6" w:rsidP="005859F6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anagogico / escatologico.</w:t>
      </w:r>
    </w:p>
    <w:p w14:paraId="560EC10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Questa elaborazione:</w:t>
      </w:r>
    </w:p>
    <w:p w14:paraId="0F0F746C" w14:textId="77777777" w:rsidR="005859F6" w:rsidRPr="005859F6" w:rsidRDefault="005859F6" w:rsidP="005859F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non nasce nella tradizione ebraica;</w:t>
      </w:r>
    </w:p>
    <w:p w14:paraId="5EF20F07" w14:textId="77777777" w:rsidR="005859F6" w:rsidRPr="005859F6" w:rsidRDefault="005859F6" w:rsidP="005859F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è propria del cristianesimo;</w:t>
      </w:r>
    </w:p>
    <w:p w14:paraId="07375770" w14:textId="77777777" w:rsidR="005859F6" w:rsidRPr="005859F6" w:rsidRDefault="005859F6" w:rsidP="005859F6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presuppone la stabilità della pagina.</w:t>
      </w:r>
    </w:p>
    <w:p w14:paraId="712219A2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2A0E1137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443E53A9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2.1.7. Rotolo e codice come chiave per l’esegesi profetica</w:t>
      </w:r>
    </w:p>
    <w:p w14:paraId="261C6552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La riflessione non è antiquaria, ma metodologica:</w:t>
      </w:r>
    </w:p>
    <w:p w14:paraId="2A67B5FC" w14:textId="77777777" w:rsidR="005859F6" w:rsidRPr="005859F6" w:rsidRDefault="005859F6" w:rsidP="005859F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 profeti sono nati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nel mondo del rotolo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67BD4B0D" w14:textId="77777777" w:rsidR="005859F6" w:rsidRPr="005859F6" w:rsidRDefault="005859F6" w:rsidP="005859F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la loro lettura originaria è immersiva, dinamica, storica;</w:t>
      </w:r>
    </w:p>
    <w:p w14:paraId="63F52F00" w14:textId="77777777" w:rsidR="005859F6" w:rsidRPr="005859F6" w:rsidRDefault="005859F6" w:rsidP="005859F6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l’esegesi moderna lavora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nel mondo del codice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01907D0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L’errore sta nel:</w:t>
      </w:r>
    </w:p>
    <w:p w14:paraId="6B4D9738" w14:textId="77777777" w:rsidR="005859F6" w:rsidRPr="005859F6" w:rsidRDefault="005859F6" w:rsidP="005859F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leggere testi nati per il rotolo</w:t>
      </w:r>
    </w:p>
    <w:p w14:paraId="1AAF2553" w14:textId="77777777" w:rsidR="005859F6" w:rsidRPr="005859F6" w:rsidRDefault="005859F6" w:rsidP="005859F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solo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con categorie del codice</w:t>
      </w:r>
    </w:p>
    <w:p w14:paraId="4C379CDF" w14:textId="77777777" w:rsidR="005859F6" w:rsidRPr="005859F6" w:rsidRDefault="005859F6" w:rsidP="005859F6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senza rendersene conto.</w:t>
      </w:r>
    </w:p>
    <w:p w14:paraId="0C89E7F0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28AD0B6A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21939C42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2.2. Prime attestazioni canoniche: il Siracide (anticipazione)</w:t>
      </w:r>
    </w:p>
    <w:p w14:paraId="36DE610D" w14:textId="77777777" w:rsidR="005859F6" w:rsidRPr="005859F6" w:rsidRDefault="005859F6" w:rsidP="005859F6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2.2.1. Il prologo del Siracide come testimonianza storica</w:t>
      </w:r>
    </w:p>
    <w:p w14:paraId="0C3DF7B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docente introduce il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Siracide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come:</w:t>
      </w:r>
    </w:p>
    <w:p w14:paraId="405589C4" w14:textId="77777777" w:rsidR="005859F6" w:rsidRPr="005859F6" w:rsidRDefault="005859F6" w:rsidP="005859F6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prima attestazione esplicita di una tripartizione:</w:t>
      </w:r>
    </w:p>
    <w:p w14:paraId="2C92ECF6" w14:textId="77777777" w:rsidR="005859F6" w:rsidRPr="005859F6" w:rsidRDefault="005859F6" w:rsidP="005859F6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Legge,</w:t>
      </w:r>
    </w:p>
    <w:p w14:paraId="1B995B28" w14:textId="77777777" w:rsidR="005859F6" w:rsidRPr="005859F6" w:rsidRDefault="005859F6" w:rsidP="005859F6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Profeti,</w:t>
      </w:r>
    </w:p>
    <w:p w14:paraId="654AD370" w14:textId="77777777" w:rsidR="005859F6" w:rsidRPr="005859F6" w:rsidRDefault="005859F6" w:rsidP="005859F6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altri Scritti.</w:t>
      </w:r>
    </w:p>
    <w:p w14:paraId="029E5B97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Legge alcuni passi del prologo greco, mostrando che:</w:t>
      </w:r>
    </w:p>
    <w:p w14:paraId="102C528D" w14:textId="77777777" w:rsidR="005859F6" w:rsidRPr="005859F6" w:rsidRDefault="005859F6" w:rsidP="005859F6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lastRenderedPageBreak/>
        <w:t>già esiste una coscienza di raccolta;</w:t>
      </w:r>
    </w:p>
    <w:p w14:paraId="0F67A286" w14:textId="77777777" w:rsidR="005859F6" w:rsidRPr="005859F6" w:rsidRDefault="005859F6" w:rsidP="005859F6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Siracide si colloca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dentro una tradizione testuale già strutturata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5D2BB1C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Viene accennata anche la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tesi personale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del docente:</w:t>
      </w:r>
    </w:p>
    <w:p w14:paraId="5060DF23" w14:textId="77777777" w:rsidR="005859F6" w:rsidRPr="005859F6" w:rsidRDefault="005859F6" w:rsidP="005859F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datazione al III sec. a.C. (non al II),</w:t>
      </w:r>
    </w:p>
    <w:p w14:paraId="2F5D23DF" w14:textId="77777777" w:rsidR="005859F6" w:rsidRPr="005859F6" w:rsidRDefault="005859F6" w:rsidP="005859F6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con importanti conseguenze per la storia del canone.</w:t>
      </w:r>
    </w:p>
    <w:p w14:paraId="124FC17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Dopo aver mostrato che il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Siracide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fornisce la prima attestazione esplicita della tripartizione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Legge – Profeti – altri Scritti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, il docente chiarisce che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non si tratta di un caso isolato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, ma dell’inizio di una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linea storica coerente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che attraversa giudaismo ed età ellenistico-romana.</w:t>
      </w:r>
    </w:p>
    <w:p w14:paraId="18BE39D8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punto metodologico decisivo è questo: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la coscienza canonica precede di molto la fissazione formale del canone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4BDC2BF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Non abbiamo ancora un elenco chiuso, 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abbiamo già una struttura mentale condivisa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EE50AD5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2B0C54DB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03DD4102" w14:textId="26BE3496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2.3. Vangelo di Luca 24: Gesù e la tripartizione delle Scritture</w:t>
      </w:r>
    </w:p>
    <w:p w14:paraId="5A13A2F8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docente richiama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Luca 24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come testimonianza capitale, perché colloca la tripartizione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sulla bocca del Risorto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E5FFB9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«Bisogna che si compiano tutte le cose scritte su di me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  <w:t>nella Legge di Mosè, nei Profeti e nei Salmi» (Lc 24,44)</w:t>
      </w:r>
    </w:p>
    <w:p w14:paraId="03443849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Osservazioni decisive emerse a lezione:</w:t>
      </w:r>
    </w:p>
    <w:p w14:paraId="6B300D3A" w14:textId="78D1D71E" w:rsidR="005859F6" w:rsidRPr="005859F6" w:rsidRDefault="005859F6" w:rsidP="005859F6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Salmi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non indica solo il Salterio, ma </w:t>
      </w:r>
      <w:r w:rsidR="006A2326">
        <w:rPr>
          <w:rFonts w:eastAsia="Times New Roman" w:cs="Times New Roman"/>
          <w:b/>
          <w:bCs/>
          <w:kern w:val="0"/>
          <w:lang w:eastAsia="it-IT"/>
          <w14:ligatures w14:val="none"/>
        </w:rPr>
        <w:t>è un rimando alla preghiera del Tempio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2D785991" w14:textId="77777777" w:rsidR="005859F6" w:rsidRPr="005859F6" w:rsidRDefault="005859F6" w:rsidP="005859F6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Luca presuppone una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coscienza canonica già condivisa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7D10E504" w14:textId="77777777" w:rsidR="005859F6" w:rsidRPr="005859F6" w:rsidRDefault="005859F6" w:rsidP="005859F6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la tripartizione non è una costruzione rabbinica tardiva, 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un dato acquisito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nel giudaismo del I secolo.</w:t>
      </w:r>
    </w:p>
    <w:p w14:paraId="0C2EC663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docente sottolinea che qui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non siamo ancora alla lista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ma:</w:t>
      </w:r>
    </w:p>
    <w:p w14:paraId="797D8839" w14:textId="77777777" w:rsidR="005859F6" w:rsidRPr="005859F6" w:rsidRDefault="005859F6" w:rsidP="005859F6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a una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struttura ermeneutica della Scrittura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5FDFDEC1" w14:textId="77777777" w:rsidR="005859F6" w:rsidRPr="005859F6" w:rsidRDefault="005859F6" w:rsidP="005859F6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che organizza il modo di leggere e interpretare i testi.</w:t>
      </w:r>
    </w:p>
    <w:p w14:paraId="2A716942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132027B8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BDFC5F8" w14:textId="53AA0588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2.4. Filone di Alessandria: il canone nella diaspora</w:t>
      </w:r>
    </w:p>
    <w:p w14:paraId="32BA8F64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La lezione prosegue mostrando come anche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Filone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pur scrivendo in greco e in contesto alessandrino, presupponga una Scrittura strutturata.</w:t>
      </w:r>
    </w:p>
    <w:p w14:paraId="3A1BB011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Punti chiave dell’esposizione orale:</w:t>
      </w:r>
    </w:p>
    <w:p w14:paraId="533E539E" w14:textId="77777777" w:rsidR="005859F6" w:rsidRPr="005859F6" w:rsidRDefault="005859F6" w:rsidP="005859F6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Filone non offre elenchi sistematici;</w:t>
      </w:r>
    </w:p>
    <w:p w14:paraId="191AAD44" w14:textId="77777777" w:rsidR="005859F6" w:rsidRPr="005859F6" w:rsidRDefault="005859F6" w:rsidP="005859F6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ma distingue chiaramente:</w:t>
      </w:r>
    </w:p>
    <w:p w14:paraId="2F75CD84" w14:textId="77777777" w:rsidR="005859F6" w:rsidRPr="005859F6" w:rsidRDefault="005859F6" w:rsidP="005859F6">
      <w:pPr>
        <w:numPr>
          <w:ilvl w:val="1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Legge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come fondamento;</w:t>
      </w:r>
    </w:p>
    <w:p w14:paraId="555A0330" w14:textId="77777777" w:rsidR="005859F6" w:rsidRPr="005859F6" w:rsidRDefault="005859F6" w:rsidP="005859F6">
      <w:pPr>
        <w:numPr>
          <w:ilvl w:val="1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gli scritti profetici;</w:t>
      </w:r>
    </w:p>
    <w:p w14:paraId="79393827" w14:textId="77777777" w:rsidR="005859F6" w:rsidRPr="005859F6" w:rsidRDefault="005859F6" w:rsidP="005859F6">
      <w:pPr>
        <w:numPr>
          <w:ilvl w:val="1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altri testi ispirati;</w:t>
      </w:r>
    </w:p>
    <w:p w14:paraId="232C29B4" w14:textId="77777777" w:rsidR="005859F6" w:rsidRPr="005859F6" w:rsidRDefault="005859F6" w:rsidP="005859F6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l’interpretazione allegorica di Filone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non dissolve il canone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ma lo presuppone.</w:t>
      </w:r>
    </w:p>
    <w:p w14:paraId="7048A9D7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docente insiste su un aspetto importante: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Filone dimostra che la coscienza canonica non è limitata alla Palestina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, ma è condivisa anche nella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diaspora ebraica ellenistica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EA899F0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53A08AFB"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14:paraId="15265758" w14:textId="57D72A83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2.5. Giuseppe Flavio: il primo numero chiuso</w:t>
      </w:r>
    </w:p>
    <w:p w14:paraId="7AF1858F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Con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Giuseppe Flavio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(Contro Apione I, 37–41) si compie un passo ulteriore: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  <w:t xml:space="preserve">per la prima volta compare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un numero definito di libri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1E9DC0CD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Elementi messi in rilievo a lezione:</w:t>
      </w:r>
    </w:p>
    <w:p w14:paraId="24FA4A12" w14:textId="77777777" w:rsidR="005859F6" w:rsidRPr="005859F6" w:rsidRDefault="005859F6" w:rsidP="005859F6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Giuseppe parla di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22 libri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30F866F6" w14:textId="77777777" w:rsidR="005859F6" w:rsidRPr="005859F6" w:rsidRDefault="005859F6" w:rsidP="005859F6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distingue chiaramente:</w:t>
      </w:r>
    </w:p>
    <w:p w14:paraId="4492BDB7" w14:textId="77777777" w:rsidR="005859F6" w:rsidRPr="005859F6" w:rsidRDefault="005859F6" w:rsidP="005859F6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libri di Mosè;</w:t>
      </w:r>
    </w:p>
    <w:p w14:paraId="4C84E0DC" w14:textId="77777777" w:rsidR="005859F6" w:rsidRPr="005859F6" w:rsidRDefault="005859F6" w:rsidP="005859F6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libri dei profeti;</w:t>
      </w:r>
    </w:p>
    <w:p w14:paraId="20B3276C" w14:textId="77777777" w:rsidR="005859F6" w:rsidRPr="005859F6" w:rsidRDefault="005859F6" w:rsidP="005859F6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altri scritti;</w:t>
      </w:r>
    </w:p>
    <w:p w14:paraId="13FC295D" w14:textId="77777777" w:rsidR="005859F6" w:rsidRPr="005859F6" w:rsidRDefault="005859F6" w:rsidP="005859F6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insiste sull’assenza di aggiunte posteriori.</w:t>
      </w:r>
    </w:p>
    <w:p w14:paraId="4BCB8111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docente chiarisce che:</w:t>
      </w:r>
    </w:p>
    <w:p w14:paraId="5923506D" w14:textId="7CFCC553" w:rsidR="005859F6" w:rsidRDefault="005859F6" w:rsidP="005859F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numero (22) </w:t>
      </w:r>
      <w:r w:rsidR="006A2326">
        <w:rPr>
          <w:rFonts w:eastAsia="Times New Roman" w:cs="Times New Roman"/>
          <w:kern w:val="0"/>
          <w:lang w:eastAsia="it-IT"/>
          <w14:ligatures w14:val="none"/>
        </w:rPr>
        <w:t>rimanda verosimilmente al numero di lettere dell’alfabeto ebraico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7524CEB3" w14:textId="0962B904" w:rsidR="006A2326" w:rsidRDefault="006A2326" w:rsidP="005859F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>l’alfabeto con cifrario fondamentale dell’intera cultura e conoscenza;</w:t>
      </w:r>
    </w:p>
    <w:p w14:paraId="2ED5CB1C" w14:textId="3646A635" w:rsidR="006A2326" w:rsidRPr="005859F6" w:rsidRDefault="006A2326" w:rsidP="005859F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kern w:val="0"/>
          <w:lang w:eastAsia="it-IT"/>
          <w14:ligatures w14:val="none"/>
        </w:rPr>
        <w:t xml:space="preserve">i </w:t>
      </w:r>
      <w:r w:rsidRPr="006A2326">
        <w:rPr>
          <w:rFonts w:eastAsia="Times New Roman" w:cs="Times New Roman"/>
          <w:b/>
          <w:bCs/>
          <w:kern w:val="0"/>
          <w:lang w:eastAsia="it-IT"/>
          <w14:ligatures w14:val="none"/>
        </w:rPr>
        <w:t>libri della Bibbia</w:t>
      </w:r>
      <w:r>
        <w:rPr>
          <w:rFonts w:eastAsia="Times New Roman" w:cs="Times New Roman"/>
          <w:kern w:val="0"/>
          <w:lang w:eastAsia="it-IT"/>
          <w14:ligatures w14:val="none"/>
        </w:rPr>
        <w:t xml:space="preserve"> come contenitore assoluto di tutta la conoscenza;</w:t>
      </w:r>
    </w:p>
    <w:p w14:paraId="3AD14AFA" w14:textId="77777777" w:rsidR="005859F6" w:rsidRPr="005859F6" w:rsidRDefault="005859F6" w:rsidP="005859F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ciò che conta è la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coscienza di chiusura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0A362972" w14:textId="77777777" w:rsidR="005859F6" w:rsidRPr="005859F6" w:rsidRDefault="005859F6" w:rsidP="005859F6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canone è percepito come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corpo compiuto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AE0BEF9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Qui il canone non è ancora cristiano, ma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ebraico pienamente formato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7B0B3803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5100AC2B">
          <v:rect id="_x0000_i1037" alt="" style="width:481.9pt;height:.05pt;mso-width-percent:0;mso-height-percent:0;mso-width-percent:0;mso-height-percent:0" o:hralign="center" o:hrstd="t" o:hr="t" fillcolor="#a0a0a0" stroked="f"/>
        </w:pict>
      </w:r>
    </w:p>
    <w:p w14:paraId="7870B7F5" w14:textId="720F4042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2.6. 4 Esdra: canone e crisi</w:t>
      </w:r>
    </w:p>
    <w:p w14:paraId="174E2F5D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Il percorso culmina con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4 Esdra (14)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, testo drammatico e teologicamente densissimo.</w:t>
      </w:r>
    </w:p>
    <w:p w14:paraId="2D7BB1EB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 lezione il docente ne sottolinea il contesto:</w:t>
      </w:r>
    </w:p>
    <w:p w14:paraId="7D654182" w14:textId="77777777" w:rsidR="005859F6" w:rsidRPr="005859F6" w:rsidRDefault="005859F6" w:rsidP="005859F6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dopo il 70 d.C.;</w:t>
      </w:r>
    </w:p>
    <w:p w14:paraId="308F20D2" w14:textId="77777777" w:rsidR="005859F6" w:rsidRPr="005859F6" w:rsidRDefault="005859F6" w:rsidP="005859F6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distruzione del Tempio;</w:t>
      </w:r>
    </w:p>
    <w:p w14:paraId="7DEAF738" w14:textId="77777777" w:rsidR="005859F6" w:rsidRPr="005859F6" w:rsidRDefault="005859F6" w:rsidP="005859F6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crisi radicale dell’identità ebraica.</w:t>
      </w:r>
    </w:p>
    <w:p w14:paraId="3A1B24DE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In questo quadro:</w:t>
      </w:r>
    </w:p>
    <w:p w14:paraId="3E622680" w14:textId="77777777" w:rsidR="005859F6" w:rsidRPr="005859F6" w:rsidRDefault="005859F6" w:rsidP="005859F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Esdra riceve di nuovo la Legge;</w:t>
      </w:r>
    </w:p>
    <w:p w14:paraId="566BCBC6" w14:textId="77777777" w:rsidR="005859F6" w:rsidRPr="005859F6" w:rsidRDefault="005859F6" w:rsidP="005859F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lastRenderedPageBreak/>
        <w:t>vengono riscritti i libri perduti;</w:t>
      </w:r>
    </w:p>
    <w:p w14:paraId="00754B84" w14:textId="77777777" w:rsidR="005859F6" w:rsidRPr="005859F6" w:rsidRDefault="005859F6" w:rsidP="005859F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24 libri sono resi pubblici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;</w:t>
      </w:r>
    </w:p>
    <w:p w14:paraId="2EDEBF9A" w14:textId="77777777" w:rsidR="005859F6" w:rsidRPr="005859F6" w:rsidRDefault="005859F6" w:rsidP="005859F6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70 libri restano riservati ai sapienti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26936B6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punto decisivo, sottolineato con forza: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il canone nasce come risposta a una crisi storica e teologica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0964B934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Non è un archivio neutro, ma:</w:t>
      </w:r>
    </w:p>
    <w:p w14:paraId="7821A9E3" w14:textId="77777777" w:rsidR="005859F6" w:rsidRPr="005859F6" w:rsidRDefault="005859F6" w:rsidP="005859F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un atto di responsabilità;</w:t>
      </w:r>
    </w:p>
    <w:p w14:paraId="3E7F4F2E" w14:textId="77777777" w:rsidR="005859F6" w:rsidRPr="005859F6" w:rsidRDefault="005859F6" w:rsidP="005859F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una scelta di sopravvivenza identitaria;</w:t>
      </w:r>
    </w:p>
    <w:p w14:paraId="350D748C" w14:textId="77777777" w:rsidR="005859F6" w:rsidRPr="005859F6" w:rsidRDefault="005859F6" w:rsidP="005859F6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una delimitazione del “dire autorizzato su Dio”.</w:t>
      </w:r>
    </w:p>
    <w:p w14:paraId="603CFAB8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21D9BBD9">
          <v:rect id="_x0000_i1038" alt="" style="width:481.9pt;height:.05pt;mso-width-percent:0;mso-height-percent:0;mso-width-percent:0;mso-height-percent:0" o:hralign="center" o:hrstd="t" o:hr="t" fillcolor="#a0a0a0" stroked="f"/>
        </w:pict>
      </w:r>
    </w:p>
    <w:p w14:paraId="1E6B5936" w14:textId="650BF1C5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2.7. Sintesi ermeneutica: dal testo alla tradizione</w:t>
      </w:r>
    </w:p>
    <w:p w14:paraId="174A2378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Il docente chiude questa parte mostrando la linea di continuità:</w:t>
      </w:r>
    </w:p>
    <w:p w14:paraId="123F6493" w14:textId="77777777" w:rsidR="005859F6" w:rsidRPr="005859F6" w:rsidRDefault="005859F6" w:rsidP="005859F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Siracide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coscienza strutturale</w:t>
      </w:r>
    </w:p>
    <w:p w14:paraId="250214CD" w14:textId="77777777" w:rsidR="005859F6" w:rsidRPr="005859F6" w:rsidRDefault="005859F6" w:rsidP="005859F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Lc 24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recezione cristiana della tripartizione</w:t>
      </w:r>
    </w:p>
    <w:p w14:paraId="5BE4B531" w14:textId="77777777" w:rsidR="005859F6" w:rsidRPr="005859F6" w:rsidRDefault="005859F6" w:rsidP="005859F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Filone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diffusione diasporica</w:t>
      </w:r>
    </w:p>
    <w:p w14:paraId="700805E5" w14:textId="77777777" w:rsidR="005859F6" w:rsidRPr="005859F6" w:rsidRDefault="005859F6" w:rsidP="005859F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Giuseppe Flavio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chiusura numerica</w:t>
      </w:r>
    </w:p>
    <w:p w14:paraId="7ED70E02" w14:textId="77777777" w:rsidR="005859F6" w:rsidRPr="005859F6" w:rsidRDefault="005859F6" w:rsidP="005859F6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4 Esdra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→ canone come risposta alla catastrofe</w:t>
      </w:r>
    </w:p>
    <w:p w14:paraId="1B41719E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Ne deriva una conclusione metodologica centrale per il corso:</w:t>
      </w:r>
    </w:p>
    <w:p w14:paraId="38B07CDC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i libri profetici non esistono mai isolati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esistono sempre dentro un corpo canonico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br/>
      </w: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5859F6">
        <w:rPr>
          <w:rFonts w:eastAsia="Times New Roman" w:cs="Times New Roman"/>
          <w:i/>
          <w:iCs/>
          <w:kern w:val="0"/>
          <w:lang w:eastAsia="it-IT"/>
          <w14:ligatures w14:val="none"/>
        </w:rPr>
        <w:t>e questo corpo è una scelta teologica prima che letteraria</w:t>
      </w:r>
    </w:p>
    <w:p w14:paraId="65B2E22E" w14:textId="77777777" w:rsidR="005859F6" w:rsidRPr="005859F6" w:rsidRDefault="006A2326" w:rsidP="005859F6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>
        <w:rPr>
          <w:rFonts w:eastAsia="Times New Roman" w:cs="Times New Roman"/>
          <w:noProof/>
          <w:kern w:val="0"/>
          <w:lang w:eastAsia="it-IT"/>
          <w14:ligatures w14:val="none"/>
        </w:rPr>
      </w:r>
      <w:r w:rsidR="006A2326">
        <w:rPr>
          <w:rFonts w:eastAsia="Times New Roman" w:cs="Times New Roman"/>
          <w:noProof/>
          <w:kern w:val="0"/>
          <w:lang w:eastAsia="it-IT"/>
          <w14:ligatures w14:val="none"/>
        </w:rPr>
        <w:pict w14:anchorId="39083F96">
          <v:rect id="_x0000_i1039" alt="" style="width:481.9pt;height:.05pt;mso-width-percent:0;mso-height-percent:0;mso-width-percent:0;mso-height-percent:0" o:hralign="center" o:hrstd="t" o:hr="t" fillcolor="#a0a0a0" stroked="f"/>
        </w:pict>
      </w:r>
    </w:p>
    <w:p w14:paraId="1A9BEBE2" w14:textId="77777777" w:rsidR="005859F6" w:rsidRPr="005859F6" w:rsidRDefault="005859F6" w:rsidP="005859F6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Chiusura complessiva della Quarta parte</w:t>
      </w:r>
    </w:p>
    <w:p w14:paraId="6AB50987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La lezione si conclude ribadendo che:</w:t>
      </w:r>
    </w:p>
    <w:p w14:paraId="3E3B645F" w14:textId="77777777" w:rsidR="005859F6" w:rsidRPr="005859F6" w:rsidRDefault="005859F6" w:rsidP="005859F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comprendere i profeti richiede:</w:t>
      </w:r>
    </w:p>
    <w:p w14:paraId="078672AC" w14:textId="77777777" w:rsidR="005859F6" w:rsidRPr="005859F6" w:rsidRDefault="005859F6" w:rsidP="005859F6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conoscenza delle pratiche scribali;</w:t>
      </w:r>
    </w:p>
    <w:p w14:paraId="4BE9E203" w14:textId="77777777" w:rsidR="005859F6" w:rsidRPr="005859F6" w:rsidRDefault="005859F6" w:rsidP="005859F6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coscienza della forma del testo;</w:t>
      </w:r>
    </w:p>
    <w:p w14:paraId="66906966" w14:textId="77777777" w:rsidR="005859F6" w:rsidRPr="005859F6" w:rsidRDefault="005859F6" w:rsidP="005859F6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attenzione alla costruzione canonica;</w:t>
      </w:r>
    </w:p>
    <w:p w14:paraId="4D2865DD" w14:textId="77777777" w:rsidR="005859F6" w:rsidRPr="005859F6" w:rsidRDefault="005859F6" w:rsidP="005859F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la domanda esegetica vera non è:</w:t>
      </w:r>
    </w:p>
    <w:p w14:paraId="21D8BA23" w14:textId="77777777" w:rsidR="005859F6" w:rsidRPr="005859F6" w:rsidRDefault="005859F6" w:rsidP="005859F6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“che cosa dice questo versetto?”,</w:t>
      </w:r>
    </w:p>
    <w:p w14:paraId="126984F1" w14:textId="77777777" w:rsidR="005859F6" w:rsidRPr="005859F6" w:rsidRDefault="005859F6" w:rsidP="005859F6">
      <w:pPr>
        <w:numPr>
          <w:ilvl w:val="0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kern w:val="0"/>
          <w:lang w:eastAsia="it-IT"/>
          <w14:ligatures w14:val="none"/>
        </w:rPr>
        <w:t>ma:</w:t>
      </w:r>
    </w:p>
    <w:p w14:paraId="751DDC2D" w14:textId="77777777" w:rsidR="005859F6" w:rsidRPr="005859F6" w:rsidRDefault="005859F6" w:rsidP="005859F6">
      <w:pPr>
        <w:numPr>
          <w:ilvl w:val="1"/>
          <w:numId w:val="3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“perché questo testo è qui, in questo corpo, in questa forma?”</w:t>
      </w:r>
    </w:p>
    <w:p w14:paraId="1594A742" w14:textId="77777777" w:rsidR="005859F6" w:rsidRPr="005859F6" w:rsidRDefault="005859F6" w:rsidP="005859F6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5859F6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 xml:space="preserve"> È su questa base che il corso potrà ora </w:t>
      </w:r>
      <w:r w:rsidRPr="005859F6">
        <w:rPr>
          <w:rFonts w:eastAsia="Times New Roman" w:cs="Times New Roman"/>
          <w:b/>
          <w:bCs/>
          <w:kern w:val="0"/>
          <w:lang w:eastAsia="it-IT"/>
          <w14:ligatures w14:val="none"/>
        </w:rPr>
        <w:t>entrare realmente nei libri profetici</w:t>
      </w:r>
      <w:r w:rsidRPr="005859F6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2335F9E8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2BDE" w14:textId="77777777" w:rsidR="009308E9" w:rsidRDefault="009308E9" w:rsidP="005859F6">
      <w:r>
        <w:separator/>
      </w:r>
    </w:p>
  </w:endnote>
  <w:endnote w:type="continuationSeparator" w:id="0">
    <w:p w14:paraId="7AECDF0F" w14:textId="77777777" w:rsidR="009308E9" w:rsidRDefault="009308E9" w:rsidP="005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41875286"/>
      <w:docPartObj>
        <w:docPartGallery w:val="Page Numbers (Bottom of Page)"/>
        <w:docPartUnique/>
      </w:docPartObj>
    </w:sdtPr>
    <w:sdtContent>
      <w:p w14:paraId="4D261A32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49C7D3E5" w14:textId="77777777" w:rsidR="005859F6" w:rsidRDefault="005859F6" w:rsidP="005859F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104182329"/>
      <w:docPartObj>
        <w:docPartGallery w:val="Page Numbers (Bottom of Page)"/>
        <w:docPartUnique/>
      </w:docPartObj>
    </w:sdtPr>
    <w:sdtContent>
      <w:p w14:paraId="5BE27E3A" w14:textId="77777777" w:rsidR="005859F6" w:rsidRDefault="005859F6" w:rsidP="00D925C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B115063" w14:textId="77777777" w:rsidR="005859F6" w:rsidRDefault="005859F6" w:rsidP="005859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048A3" w14:textId="77777777" w:rsidR="009308E9" w:rsidRDefault="009308E9" w:rsidP="005859F6">
      <w:r>
        <w:separator/>
      </w:r>
    </w:p>
  </w:footnote>
  <w:footnote w:type="continuationSeparator" w:id="0">
    <w:p w14:paraId="294FC365" w14:textId="77777777" w:rsidR="009308E9" w:rsidRDefault="009308E9" w:rsidP="0058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4A0"/>
    <w:multiLevelType w:val="multilevel"/>
    <w:tmpl w:val="F1A0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95659"/>
    <w:multiLevelType w:val="multilevel"/>
    <w:tmpl w:val="B41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E3AB2"/>
    <w:multiLevelType w:val="multilevel"/>
    <w:tmpl w:val="1CD2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42313"/>
    <w:multiLevelType w:val="multilevel"/>
    <w:tmpl w:val="A5AC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45665"/>
    <w:multiLevelType w:val="multilevel"/>
    <w:tmpl w:val="32FE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5542F"/>
    <w:multiLevelType w:val="multilevel"/>
    <w:tmpl w:val="C77E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6752B"/>
    <w:multiLevelType w:val="multilevel"/>
    <w:tmpl w:val="77AE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30E10"/>
    <w:multiLevelType w:val="multilevel"/>
    <w:tmpl w:val="5A80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B230C"/>
    <w:multiLevelType w:val="multilevel"/>
    <w:tmpl w:val="534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94EC5"/>
    <w:multiLevelType w:val="multilevel"/>
    <w:tmpl w:val="4078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C3612"/>
    <w:multiLevelType w:val="multilevel"/>
    <w:tmpl w:val="3D8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8255B"/>
    <w:multiLevelType w:val="multilevel"/>
    <w:tmpl w:val="AE0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F5CFD"/>
    <w:multiLevelType w:val="multilevel"/>
    <w:tmpl w:val="397C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B7170"/>
    <w:multiLevelType w:val="multilevel"/>
    <w:tmpl w:val="52D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C85B5E"/>
    <w:multiLevelType w:val="multilevel"/>
    <w:tmpl w:val="FFF4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E3B16"/>
    <w:multiLevelType w:val="multilevel"/>
    <w:tmpl w:val="0F7A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65E13"/>
    <w:multiLevelType w:val="multilevel"/>
    <w:tmpl w:val="7A7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67D6B"/>
    <w:multiLevelType w:val="multilevel"/>
    <w:tmpl w:val="80E4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E3634"/>
    <w:multiLevelType w:val="multilevel"/>
    <w:tmpl w:val="4914E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F2282D"/>
    <w:multiLevelType w:val="multilevel"/>
    <w:tmpl w:val="ECB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9009F"/>
    <w:multiLevelType w:val="multilevel"/>
    <w:tmpl w:val="1110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7D7224"/>
    <w:multiLevelType w:val="multilevel"/>
    <w:tmpl w:val="39F8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991C7F"/>
    <w:multiLevelType w:val="multilevel"/>
    <w:tmpl w:val="E61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672845"/>
    <w:multiLevelType w:val="multilevel"/>
    <w:tmpl w:val="534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911BA"/>
    <w:multiLevelType w:val="multilevel"/>
    <w:tmpl w:val="5CD2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55CDA"/>
    <w:multiLevelType w:val="multilevel"/>
    <w:tmpl w:val="D39E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81A94"/>
    <w:multiLevelType w:val="multilevel"/>
    <w:tmpl w:val="A780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7D4415"/>
    <w:multiLevelType w:val="multilevel"/>
    <w:tmpl w:val="1864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B082F"/>
    <w:multiLevelType w:val="multilevel"/>
    <w:tmpl w:val="25B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7240A"/>
    <w:multiLevelType w:val="multilevel"/>
    <w:tmpl w:val="73B0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E41DF9"/>
    <w:multiLevelType w:val="multilevel"/>
    <w:tmpl w:val="2C8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E375E"/>
    <w:multiLevelType w:val="multilevel"/>
    <w:tmpl w:val="B28E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C716F"/>
    <w:multiLevelType w:val="multilevel"/>
    <w:tmpl w:val="0AD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132950">
    <w:abstractNumId w:val="21"/>
  </w:num>
  <w:num w:numId="2" w16cid:durableId="1434862779">
    <w:abstractNumId w:val="17"/>
  </w:num>
  <w:num w:numId="3" w16cid:durableId="683165233">
    <w:abstractNumId w:val="2"/>
  </w:num>
  <w:num w:numId="4" w16cid:durableId="613289673">
    <w:abstractNumId w:val="1"/>
  </w:num>
  <w:num w:numId="5" w16cid:durableId="840394267">
    <w:abstractNumId w:val="31"/>
  </w:num>
  <w:num w:numId="6" w16cid:durableId="405034274">
    <w:abstractNumId w:val="28"/>
  </w:num>
  <w:num w:numId="7" w16cid:durableId="367679288">
    <w:abstractNumId w:val="19"/>
  </w:num>
  <w:num w:numId="8" w16cid:durableId="1915896964">
    <w:abstractNumId w:val="18"/>
  </w:num>
  <w:num w:numId="9" w16cid:durableId="1932085406">
    <w:abstractNumId w:val="22"/>
  </w:num>
  <w:num w:numId="10" w16cid:durableId="578558775">
    <w:abstractNumId w:val="9"/>
  </w:num>
  <w:num w:numId="11" w16cid:durableId="175073449">
    <w:abstractNumId w:val="16"/>
  </w:num>
  <w:num w:numId="12" w16cid:durableId="1716588901">
    <w:abstractNumId w:val="24"/>
  </w:num>
  <w:num w:numId="13" w16cid:durableId="2033023288">
    <w:abstractNumId w:val="0"/>
  </w:num>
  <w:num w:numId="14" w16cid:durableId="536237759">
    <w:abstractNumId w:val="12"/>
  </w:num>
  <w:num w:numId="15" w16cid:durableId="1429079553">
    <w:abstractNumId w:val="15"/>
  </w:num>
  <w:num w:numId="16" w16cid:durableId="529806494">
    <w:abstractNumId w:val="4"/>
  </w:num>
  <w:num w:numId="17" w16cid:durableId="1877113605">
    <w:abstractNumId w:val="25"/>
  </w:num>
  <w:num w:numId="18" w16cid:durableId="511649934">
    <w:abstractNumId w:val="14"/>
  </w:num>
  <w:num w:numId="19" w16cid:durableId="341009316">
    <w:abstractNumId w:val="3"/>
  </w:num>
  <w:num w:numId="20" w16cid:durableId="1776826885">
    <w:abstractNumId w:val="32"/>
  </w:num>
  <w:num w:numId="21" w16cid:durableId="1557622703">
    <w:abstractNumId w:val="8"/>
  </w:num>
  <w:num w:numId="22" w16cid:durableId="876553255">
    <w:abstractNumId w:val="29"/>
  </w:num>
  <w:num w:numId="23" w16cid:durableId="1854952353">
    <w:abstractNumId w:val="11"/>
  </w:num>
  <w:num w:numId="24" w16cid:durableId="1654488054">
    <w:abstractNumId w:val="30"/>
  </w:num>
  <w:num w:numId="25" w16cid:durableId="567033962">
    <w:abstractNumId w:val="27"/>
  </w:num>
  <w:num w:numId="26" w16cid:durableId="293753508">
    <w:abstractNumId w:val="26"/>
  </w:num>
  <w:num w:numId="27" w16cid:durableId="1901745591">
    <w:abstractNumId w:val="7"/>
  </w:num>
  <w:num w:numId="28" w16cid:durableId="1461612195">
    <w:abstractNumId w:val="5"/>
  </w:num>
  <w:num w:numId="29" w16cid:durableId="1727988063">
    <w:abstractNumId w:val="13"/>
  </w:num>
  <w:num w:numId="30" w16cid:durableId="1956250875">
    <w:abstractNumId w:val="23"/>
  </w:num>
  <w:num w:numId="31" w16cid:durableId="736391752">
    <w:abstractNumId w:val="20"/>
  </w:num>
  <w:num w:numId="32" w16cid:durableId="213273755">
    <w:abstractNumId w:val="6"/>
  </w:num>
  <w:num w:numId="33" w16cid:durableId="1631395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F6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5859F6"/>
    <w:rsid w:val="006A2326"/>
    <w:rsid w:val="00760391"/>
    <w:rsid w:val="009308E9"/>
    <w:rsid w:val="00AE06DD"/>
    <w:rsid w:val="00C5790C"/>
    <w:rsid w:val="00CA2C4A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FA80"/>
  <w15:chartTrackingRefBased/>
  <w15:docId w15:val="{F1E93EF3-2F5E-D64E-8D1A-AFC182C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85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5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85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9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9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9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9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85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85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9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9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9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9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9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9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85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9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9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9F6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9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859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9F6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9F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859F6"/>
    <w:rPr>
      <w:b/>
      <w:bCs/>
    </w:rPr>
  </w:style>
  <w:style w:type="character" w:customStyle="1" w:styleId="whitespace-normal">
    <w:name w:val="whitespace-normal"/>
    <w:basedOn w:val="Carpredefinitoparagrafo"/>
    <w:rsid w:val="005859F6"/>
  </w:style>
  <w:style w:type="character" w:customStyle="1" w:styleId="relative">
    <w:name w:val="relative"/>
    <w:basedOn w:val="Carpredefinitoparagrafo"/>
    <w:rsid w:val="005859F6"/>
  </w:style>
  <w:style w:type="paragraph" w:customStyle="1" w:styleId="not-prose">
    <w:name w:val="not-prose"/>
    <w:basedOn w:val="Normale"/>
    <w:rsid w:val="005859F6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5859F6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5859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9F6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58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1379</Words>
  <Characters>7849</Characters>
  <Application>Microsoft Office Word</Application>
  <DocSecurity>0</DocSecurity>
  <Lines>230</Lines>
  <Paragraphs>225</Paragraphs>
  <ScaleCrop>false</ScaleCrop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2</cp:revision>
  <dcterms:created xsi:type="dcterms:W3CDTF">2026-02-06T23:06:00Z</dcterms:created>
  <dcterms:modified xsi:type="dcterms:W3CDTF">2026-02-06T23:24:00Z</dcterms:modified>
</cp:coreProperties>
</file>